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D4D56E" w14:textId="77777777" w:rsidR="00141BA0" w:rsidRPr="00382D99" w:rsidRDefault="00141BA0" w:rsidP="00514F67">
      <w:pPr>
        <w:tabs>
          <w:tab w:val="right" w:pos="10440"/>
          <w:tab w:val="right" w:pos="13323"/>
        </w:tabs>
        <w:spacing w:after="0"/>
        <w:rPr>
          <w:rFonts w:ascii="Arial" w:hAnsi="Arial" w:cs="Arial"/>
          <w:b/>
          <w:sz w:val="24"/>
          <w:szCs w:val="24"/>
          <w:lang w:val="en-US" w:eastAsia="zh-CN"/>
        </w:rPr>
      </w:pPr>
      <w:bookmarkStart w:id="0" w:name="_Toc481653327"/>
      <w:bookmarkStart w:id="1" w:name="_Toc519094990"/>
      <w:bookmarkStart w:id="2" w:name="_Toc481570476"/>
      <w:bookmarkStart w:id="3" w:name="historyclause"/>
    </w:p>
    <w:p w14:paraId="170C9576" w14:textId="6C290943"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A5784F">
        <w:rPr>
          <w:rFonts w:ascii="Arial" w:eastAsia="MS Mincho" w:hAnsi="Arial" w:cs="Arial"/>
          <w:b/>
          <w:sz w:val="24"/>
          <w:szCs w:val="24"/>
          <w:lang w:val="en-US"/>
        </w:rPr>
        <w:t>100</w:t>
      </w:r>
      <w:r w:rsidR="001E3B15">
        <w:rPr>
          <w:rFonts w:ascii="Arial" w:eastAsia="MS Mincho" w:hAnsi="Arial" w:cs="Arial"/>
          <w:b/>
          <w:sz w:val="24"/>
          <w:szCs w:val="24"/>
          <w:lang w:val="en-US"/>
        </w:rPr>
        <w:t>-e</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38660D" w:rsidRPr="0038660D">
        <w:rPr>
          <w:rFonts w:ascii="Arial" w:eastAsia="MS Mincho" w:hAnsi="Arial" w:cs="Arial"/>
          <w:b/>
          <w:sz w:val="24"/>
          <w:szCs w:val="24"/>
          <w:lang w:val="en-US"/>
        </w:rPr>
        <w:t>2114216</w:t>
      </w:r>
    </w:p>
    <w:p w14:paraId="58CE81B1" w14:textId="60488D43" w:rsidR="001E3B15" w:rsidRPr="005F5603" w:rsidRDefault="00FE444D" w:rsidP="001E3B15">
      <w:pPr>
        <w:pStyle w:val="a"/>
        <w:rPr>
          <w:rFonts w:eastAsia="SimSun"/>
          <w:bCs w:val="0"/>
          <w:sz w:val="24"/>
          <w:lang w:eastAsia="zh-CN"/>
        </w:rPr>
      </w:pPr>
      <w:bookmarkStart w:id="4" w:name="OLE_LINK1"/>
      <w:r>
        <w:rPr>
          <w:rFonts w:eastAsia="SimSun"/>
          <w:bCs w:val="0"/>
          <w:sz w:val="24"/>
          <w:lang w:eastAsia="zh-CN"/>
        </w:rPr>
        <w:t>Electronic Meeting</w:t>
      </w:r>
      <w:r w:rsidR="00693733">
        <w:rPr>
          <w:rFonts w:eastAsia="SimSun"/>
          <w:bCs w:val="0"/>
          <w:sz w:val="24"/>
          <w:lang w:eastAsia="zh-CN"/>
        </w:rPr>
        <w:t xml:space="preserve">, </w:t>
      </w:r>
      <w:r>
        <w:rPr>
          <w:rFonts w:eastAsia="SimSun"/>
          <w:bCs w:val="0"/>
          <w:sz w:val="24"/>
          <w:lang w:eastAsia="zh-CN"/>
        </w:rPr>
        <w:t>1</w:t>
      </w:r>
      <w:r w:rsidR="00A5784F">
        <w:rPr>
          <w:rFonts w:eastAsia="SimSun"/>
          <w:bCs w:val="0"/>
          <w:sz w:val="24"/>
          <w:lang w:eastAsia="zh-CN"/>
        </w:rPr>
        <w:t>6</w:t>
      </w:r>
      <w:r>
        <w:rPr>
          <w:rFonts w:eastAsia="SimSun"/>
          <w:bCs w:val="0"/>
          <w:sz w:val="24"/>
          <w:lang w:eastAsia="zh-CN"/>
        </w:rPr>
        <w:t xml:space="preserve"> – 2</w:t>
      </w:r>
      <w:r w:rsidR="00D774CD">
        <w:rPr>
          <w:rFonts w:eastAsia="SimSun"/>
          <w:bCs w:val="0"/>
          <w:sz w:val="24"/>
          <w:lang w:eastAsia="zh-CN"/>
        </w:rPr>
        <w:t>7</w:t>
      </w:r>
      <w:r>
        <w:rPr>
          <w:rFonts w:eastAsia="SimSun"/>
          <w:bCs w:val="0"/>
          <w:sz w:val="24"/>
          <w:lang w:eastAsia="zh-CN"/>
        </w:rPr>
        <w:t xml:space="preserve"> </w:t>
      </w:r>
      <w:r w:rsidR="00A5784F">
        <w:rPr>
          <w:rFonts w:eastAsia="SimSun"/>
          <w:bCs w:val="0"/>
          <w:sz w:val="24"/>
          <w:lang w:eastAsia="zh-CN"/>
        </w:rPr>
        <w:t>August</w:t>
      </w:r>
      <w:r w:rsidR="001E3B15">
        <w:rPr>
          <w:rFonts w:eastAsia="SimSun"/>
          <w:bCs w:val="0"/>
          <w:sz w:val="24"/>
          <w:lang w:eastAsia="zh-CN"/>
        </w:rPr>
        <w:t xml:space="preserve"> </w:t>
      </w:r>
      <w:r w:rsidR="001E3B15" w:rsidRPr="009F4EEE">
        <w:rPr>
          <w:rFonts w:eastAsia="SimSun"/>
          <w:bCs w:val="0"/>
          <w:sz w:val="24"/>
          <w:lang w:eastAsia="zh-CN"/>
        </w:rPr>
        <w:t>20</w:t>
      </w:r>
      <w:bookmarkEnd w:id="4"/>
      <w:r>
        <w:rPr>
          <w:rFonts w:eastAsia="SimSun"/>
          <w:bCs w:val="0"/>
          <w:sz w:val="24"/>
          <w:lang w:eastAsia="zh-CN"/>
        </w:rPr>
        <w:t>21</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xml:space="preserve">, </w:t>
      </w:r>
      <w:proofErr w:type="spellStart"/>
      <w:r w:rsidRPr="00C04507">
        <w:rPr>
          <w:rFonts w:ascii="Arial" w:hAnsi="Arial" w:cs="Arial"/>
          <w:sz w:val="22"/>
          <w:szCs w:val="22"/>
        </w:rPr>
        <w:t>HiSilicon</w:t>
      </w:r>
      <w:proofErr w:type="spellEnd"/>
    </w:p>
    <w:p w14:paraId="01CBA7DD" w14:textId="45025418"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A060CD">
        <w:rPr>
          <w:rFonts w:ascii="Arial" w:hAnsi="Arial" w:cs="Arial"/>
          <w:b/>
          <w:sz w:val="22"/>
          <w:szCs w:val="22"/>
        </w:rPr>
        <w:t>Discussion on</w:t>
      </w:r>
      <w:r w:rsidR="00FE444D">
        <w:rPr>
          <w:rFonts w:ascii="Arial" w:hAnsi="Arial" w:cs="Arial"/>
          <w:b/>
          <w:sz w:val="22"/>
          <w:szCs w:val="22"/>
        </w:rPr>
        <w:t xml:space="preserve"> </w:t>
      </w:r>
      <w:r w:rsidR="00AD7185">
        <w:rPr>
          <w:rFonts w:ascii="Arial" w:hAnsi="Arial" w:cs="Arial"/>
          <w:b/>
          <w:sz w:val="22"/>
          <w:szCs w:val="22"/>
        </w:rPr>
        <w:t xml:space="preserve">in-band emission </w:t>
      </w:r>
      <w:r w:rsidR="00A060CD">
        <w:rPr>
          <w:rFonts w:ascii="Arial" w:hAnsi="Arial" w:cs="Arial"/>
          <w:b/>
          <w:sz w:val="22"/>
          <w:szCs w:val="22"/>
        </w:rPr>
        <w:t xml:space="preserve">requirements </w:t>
      </w:r>
      <w:r w:rsidR="00FE444D">
        <w:rPr>
          <w:rFonts w:ascii="Arial" w:hAnsi="Arial" w:cs="Arial"/>
          <w:b/>
          <w:sz w:val="22"/>
          <w:szCs w:val="22"/>
        </w:rPr>
        <w:t>for 16QAM NB-</w:t>
      </w:r>
      <w:proofErr w:type="spellStart"/>
      <w:r w:rsidR="00FE444D">
        <w:rPr>
          <w:rFonts w:ascii="Arial" w:hAnsi="Arial" w:cs="Arial"/>
          <w:b/>
          <w:sz w:val="22"/>
          <w:szCs w:val="22"/>
        </w:rPr>
        <w:t>IoT</w:t>
      </w:r>
      <w:proofErr w:type="spellEnd"/>
      <w:r w:rsidR="00FE444D">
        <w:rPr>
          <w:rFonts w:ascii="Arial" w:hAnsi="Arial" w:cs="Arial"/>
          <w:b/>
          <w:sz w:val="22"/>
          <w:szCs w:val="22"/>
        </w:rPr>
        <w:t xml:space="preserve"> Uplink</w:t>
      </w:r>
    </w:p>
    <w:p w14:paraId="7CF36F6C" w14:textId="7CE4571E"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9C392C" w:rsidRPr="009C392C">
        <w:rPr>
          <w:rFonts w:ascii="Arial" w:hAnsi="Arial" w:cs="Arial"/>
          <w:color w:val="000000" w:themeColor="text1"/>
          <w:sz w:val="22"/>
          <w:szCs w:val="22"/>
        </w:rPr>
        <w:t>1</w:t>
      </w:r>
      <w:r w:rsidR="00D774CD">
        <w:rPr>
          <w:rFonts w:ascii="Arial" w:hAnsi="Arial" w:cs="Arial"/>
          <w:color w:val="000000" w:themeColor="text1"/>
          <w:sz w:val="22"/>
          <w:szCs w:val="22"/>
        </w:rPr>
        <w:t>1</w:t>
      </w:r>
      <w:r w:rsidR="00CB331D" w:rsidRPr="00693733">
        <w:rPr>
          <w:rFonts w:ascii="Arial" w:hAnsi="Arial" w:cs="Arial"/>
          <w:color w:val="000000" w:themeColor="text1"/>
          <w:sz w:val="22"/>
          <w:szCs w:val="22"/>
        </w:rPr>
        <w:t>.</w:t>
      </w:r>
      <w:r w:rsidR="00A5784F">
        <w:rPr>
          <w:rFonts w:ascii="Arial" w:hAnsi="Arial" w:cs="Arial"/>
          <w:color w:val="000000" w:themeColor="text1"/>
          <w:sz w:val="22"/>
          <w:szCs w:val="22"/>
        </w:rPr>
        <w:t>8</w:t>
      </w:r>
      <w:r w:rsidR="009C392C">
        <w:rPr>
          <w:rFonts w:ascii="Arial" w:hAnsi="Arial" w:cs="Arial"/>
          <w:color w:val="000000" w:themeColor="text1"/>
          <w:sz w:val="22"/>
          <w:szCs w:val="22"/>
        </w:rPr>
        <w:t>.2.2</w:t>
      </w:r>
    </w:p>
    <w:p w14:paraId="22066D89" w14:textId="77777777"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Approval</w:t>
      </w:r>
    </w:p>
    <w:p w14:paraId="6BA4EF84"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3185977C" w14:textId="7959A2C8" w:rsidR="00514F67" w:rsidRDefault="007B729A" w:rsidP="00514F67">
      <w:pPr>
        <w:rPr>
          <w:color w:val="000000" w:themeColor="text1"/>
          <w:lang w:eastAsia="zh-CN"/>
        </w:rPr>
      </w:pPr>
      <w:r>
        <w:rPr>
          <w:color w:val="000000" w:themeColor="text1"/>
          <w:lang w:eastAsia="zh-CN"/>
        </w:rPr>
        <w:t>In RAN</w:t>
      </w:r>
      <w:r w:rsidR="0031607C">
        <w:rPr>
          <w:color w:val="000000" w:themeColor="text1"/>
          <w:lang w:eastAsia="zh-CN"/>
        </w:rPr>
        <w:t>4</w:t>
      </w:r>
      <w:r>
        <w:rPr>
          <w:color w:val="000000" w:themeColor="text1"/>
          <w:lang w:eastAsia="zh-CN"/>
        </w:rPr>
        <w:t>#</w:t>
      </w:r>
      <w:r w:rsidR="0031607C">
        <w:rPr>
          <w:color w:val="000000" w:themeColor="text1"/>
          <w:lang w:eastAsia="zh-CN"/>
        </w:rPr>
        <w:t>9</w:t>
      </w:r>
      <w:r w:rsidR="00AD7185">
        <w:rPr>
          <w:color w:val="000000" w:themeColor="text1"/>
          <w:lang w:eastAsia="zh-CN"/>
        </w:rPr>
        <w:t>9</w:t>
      </w:r>
      <w:r w:rsidR="0031607C">
        <w:rPr>
          <w:color w:val="000000" w:themeColor="text1"/>
          <w:lang w:eastAsia="zh-CN"/>
        </w:rPr>
        <w:t>-e</w:t>
      </w:r>
      <w:r>
        <w:rPr>
          <w:color w:val="000000" w:themeColor="text1"/>
          <w:lang w:eastAsia="zh-CN"/>
        </w:rPr>
        <w:t xml:space="preserve">, </w:t>
      </w:r>
      <w:r w:rsidR="00AD7185">
        <w:rPr>
          <w:color w:val="000000" w:themeColor="text1"/>
          <w:lang w:eastAsia="zh-CN"/>
        </w:rPr>
        <w:t>we proposed that bot</w:t>
      </w:r>
      <w:bookmarkStart w:id="5" w:name="_GoBack"/>
      <w:bookmarkEnd w:id="5"/>
      <w:r w:rsidR="00AD7185">
        <w:rPr>
          <w:color w:val="000000" w:themeColor="text1"/>
          <w:lang w:eastAsia="zh-CN"/>
        </w:rPr>
        <w:t>h the max target SNR and the EVM should be included into the NB-</w:t>
      </w:r>
      <w:proofErr w:type="spellStart"/>
      <w:r w:rsidR="00AD7185">
        <w:rPr>
          <w:color w:val="000000" w:themeColor="text1"/>
          <w:lang w:eastAsia="zh-CN"/>
        </w:rPr>
        <w:t>IoT</w:t>
      </w:r>
      <w:proofErr w:type="spellEnd"/>
      <w:r w:rsidR="00AD7185">
        <w:rPr>
          <w:color w:val="000000" w:themeColor="text1"/>
          <w:lang w:eastAsia="zh-CN"/>
        </w:rPr>
        <w:t xml:space="preserve"> in-band emission requirements [1]. </w:t>
      </w:r>
      <w:r w:rsidR="00546EFD">
        <w:rPr>
          <w:color w:val="000000" w:themeColor="text1"/>
          <w:lang w:eastAsia="zh-CN"/>
        </w:rPr>
        <w:t>In this paper we further discuss the in-band emission requirements.</w:t>
      </w:r>
    </w:p>
    <w:p w14:paraId="6D1145B0" w14:textId="77777777"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4AAB6261" w14:textId="0B0405FC" w:rsidR="00B92A68" w:rsidRPr="00B92A68" w:rsidRDefault="00546EFD" w:rsidP="00B92A68">
      <w:r>
        <w:t xml:space="preserve">In [1] it is proposed to change the general part of the </w:t>
      </w:r>
      <w:proofErr w:type="spellStart"/>
      <w:r w:rsidR="0063504F">
        <w:t>the</w:t>
      </w:r>
      <w:proofErr w:type="spellEnd"/>
      <w:r w:rsidR="0063504F">
        <w:t xml:space="preserve"> in-band emissions (IBE) requirements </w:t>
      </w:r>
      <w:r>
        <w:t xml:space="preserve">as </w:t>
      </w:r>
      <w:r w:rsidR="00554D7D">
        <w:t>shown in Table 1.</w:t>
      </w:r>
      <w:r>
        <w:t xml:space="preserve"> </w:t>
      </w:r>
      <w:r w:rsidR="00E1446B">
        <w:t>The max SNR of 15 dB is replaced by 18 dB in the 1</w:t>
      </w:r>
      <w:r w:rsidR="00E1446B" w:rsidRPr="00E1446B">
        <w:rPr>
          <w:vertAlign w:val="superscript"/>
        </w:rPr>
        <w:t>st</w:t>
      </w:r>
      <w:r w:rsidR="00E1446B">
        <w:t xml:space="preserve"> term of the general part in order to accommodate both QPSK and 16QAM modulations.</w:t>
      </w:r>
      <w:r w:rsidR="00674A88">
        <w:t xml:space="preserve"> And EVM is re-introduced into the 2</w:t>
      </w:r>
      <w:r w:rsidR="00674A88" w:rsidRPr="00674A88">
        <w:rPr>
          <w:vertAlign w:val="superscript"/>
        </w:rPr>
        <w:t>nd</w:t>
      </w:r>
      <w:r w:rsidR="00674A88">
        <w:t xml:space="preserve"> term.</w:t>
      </w:r>
    </w:p>
    <w:p w14:paraId="2BE9FD61" w14:textId="147D83F4" w:rsidR="00554D7D" w:rsidRDefault="00554D7D" w:rsidP="00554D7D">
      <w:pPr>
        <w:pStyle w:val="Caption"/>
        <w:keepNext/>
        <w:jc w:val="center"/>
      </w:pPr>
      <w:r>
        <w:t xml:space="preserve">Table </w:t>
      </w:r>
      <w:r>
        <w:fldChar w:fldCharType="begin"/>
      </w:r>
      <w:r>
        <w:instrText xml:space="preserve"> SEQ Table \* ARABIC </w:instrText>
      </w:r>
      <w:r>
        <w:fldChar w:fldCharType="separate"/>
      </w:r>
      <w:r w:rsidR="00194F42">
        <w:rPr>
          <w:noProof/>
        </w:rPr>
        <w:t>1</w:t>
      </w:r>
      <w:r>
        <w:fldChar w:fldCharType="end"/>
      </w:r>
      <w:r>
        <w:t xml:space="preserve">: Comparison of in-band emissions requirements for </w:t>
      </w:r>
      <w:r w:rsidR="00546EFD">
        <w:t>the existing spec</w:t>
      </w:r>
      <w:r>
        <w:t xml:space="preserve"> </w:t>
      </w:r>
      <w:r w:rsidR="00674A88">
        <w:t xml:space="preserve">[2] </w:t>
      </w:r>
      <w:r>
        <w:t xml:space="preserve">and </w:t>
      </w:r>
      <w:r w:rsidR="00546EFD">
        <w:t>new proposal</w:t>
      </w:r>
      <w:r w:rsidR="00674A88">
        <w:t xml:space="preserve"> [1]</w:t>
      </w:r>
    </w:p>
    <w:tbl>
      <w:tblPr>
        <w:tblStyle w:val="TableGrid"/>
        <w:tblW w:w="0" w:type="auto"/>
        <w:tblLook w:val="04A0" w:firstRow="1" w:lastRow="0" w:firstColumn="1" w:lastColumn="0" w:noHBand="0" w:noVBand="1"/>
      </w:tblPr>
      <w:tblGrid>
        <w:gridCol w:w="627"/>
        <w:gridCol w:w="9004"/>
      </w:tblGrid>
      <w:tr w:rsidR="00B92A68" w14:paraId="14240DCE" w14:textId="77777777" w:rsidTr="00554D7D">
        <w:trPr>
          <w:cantSplit/>
          <w:trHeight w:val="1134"/>
        </w:trPr>
        <w:tc>
          <w:tcPr>
            <w:tcW w:w="623" w:type="dxa"/>
            <w:textDirection w:val="btLr"/>
          </w:tcPr>
          <w:p w14:paraId="4AAA396B" w14:textId="08287E2F" w:rsidR="00B92A68" w:rsidRPr="007418B2" w:rsidRDefault="00546EFD" w:rsidP="00546EFD">
            <w:pPr>
              <w:ind w:left="113" w:right="113"/>
              <w:jc w:val="center"/>
              <w:rPr>
                <w:b/>
                <w:color w:val="000000" w:themeColor="text1"/>
                <w:lang w:eastAsia="zh-CN"/>
              </w:rPr>
            </w:pPr>
            <w:r>
              <w:rPr>
                <w:b/>
                <w:color w:val="000000" w:themeColor="text1"/>
                <w:lang w:eastAsia="zh-CN"/>
              </w:rPr>
              <w:t>Existing Spec</w:t>
            </w:r>
            <w:r w:rsidR="00674A88">
              <w:rPr>
                <w:b/>
                <w:color w:val="000000" w:themeColor="text1"/>
                <w:lang w:eastAsia="zh-CN"/>
              </w:rPr>
              <w:t xml:space="preserve"> [2]</w:t>
            </w:r>
          </w:p>
        </w:tc>
        <w:tc>
          <w:tcPr>
            <w:tcW w:w="9008" w:type="dxa"/>
          </w:tcPr>
          <w:p w14:paraId="7F69AD23" w14:textId="77777777" w:rsidR="00B92A68" w:rsidRDefault="00B92A68" w:rsidP="00D66EA2">
            <w:pPr>
              <w:rPr>
                <w:color w:val="000000" w:themeColor="text1"/>
                <w:lang w:eastAsia="zh-CN"/>
              </w:rPr>
            </w:pPr>
            <w:r>
              <w:rPr>
                <w:noProof/>
                <w:lang w:eastAsia="zh-CN"/>
              </w:rPr>
              <w:drawing>
                <wp:inline distT="0" distB="0" distL="0" distR="0" wp14:anchorId="66877C1B" wp14:editId="76B0F671">
                  <wp:extent cx="5641676" cy="2235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63079" cy="2283299"/>
                          </a:xfrm>
                          <a:prstGeom prst="rect">
                            <a:avLst/>
                          </a:prstGeom>
                        </pic:spPr>
                      </pic:pic>
                    </a:graphicData>
                  </a:graphic>
                </wp:inline>
              </w:drawing>
            </w:r>
          </w:p>
        </w:tc>
      </w:tr>
      <w:tr w:rsidR="00B92A68" w14:paraId="6B03FFD0" w14:textId="77777777" w:rsidTr="00674A88">
        <w:trPr>
          <w:cantSplit/>
          <w:trHeight w:val="1305"/>
        </w:trPr>
        <w:tc>
          <w:tcPr>
            <w:tcW w:w="623" w:type="dxa"/>
            <w:textDirection w:val="btLr"/>
          </w:tcPr>
          <w:p w14:paraId="46325580" w14:textId="124D9EC9" w:rsidR="00B92A68" w:rsidRPr="007418B2" w:rsidRDefault="00546EFD" w:rsidP="00B92A68">
            <w:pPr>
              <w:ind w:left="113" w:right="113"/>
              <w:jc w:val="center"/>
              <w:rPr>
                <w:b/>
                <w:color w:val="000000" w:themeColor="text1"/>
                <w:lang w:eastAsia="zh-CN"/>
              </w:rPr>
            </w:pPr>
            <w:r>
              <w:rPr>
                <w:b/>
                <w:color w:val="000000" w:themeColor="text1"/>
                <w:lang w:eastAsia="zh-CN"/>
              </w:rPr>
              <w:t>New Proposal</w:t>
            </w:r>
            <w:r w:rsidR="00674A88">
              <w:rPr>
                <w:b/>
                <w:color w:val="000000" w:themeColor="text1"/>
                <w:lang w:eastAsia="zh-CN"/>
              </w:rPr>
              <w:t xml:space="preserve"> [1]</w:t>
            </w:r>
          </w:p>
        </w:tc>
        <w:tc>
          <w:tcPr>
            <w:tcW w:w="9008" w:type="dxa"/>
          </w:tcPr>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708"/>
              <w:gridCol w:w="3827"/>
              <w:gridCol w:w="2126"/>
            </w:tblGrid>
            <w:tr w:rsidR="00546EFD" w:rsidRPr="001D386E" w14:paraId="68C448CA" w14:textId="77777777" w:rsidTr="00CA48A7">
              <w:trPr>
                <w:jc w:val="center"/>
              </w:trPr>
              <w:tc>
                <w:tcPr>
                  <w:tcW w:w="1414" w:type="dxa"/>
                  <w:tcBorders>
                    <w:bottom w:val="single" w:sz="4" w:space="0" w:color="auto"/>
                    <w:right w:val="single" w:sz="4" w:space="0" w:color="auto"/>
                  </w:tcBorders>
                  <w:shd w:val="clear" w:color="auto" w:fill="auto"/>
                  <w:vAlign w:val="center"/>
                </w:tcPr>
                <w:p w14:paraId="4E692D53" w14:textId="77777777" w:rsidR="00546EFD" w:rsidRPr="001D386E" w:rsidRDefault="00546EFD" w:rsidP="00546EFD">
                  <w:pPr>
                    <w:pStyle w:val="TAH"/>
                    <w:rPr>
                      <w:rFonts w:cs="Arial"/>
                      <w:i/>
                      <w:iCs/>
                      <w:lang w:eastAsia="ja-JP"/>
                    </w:rPr>
                  </w:pPr>
                  <w:r w:rsidRPr="001D386E">
                    <w:rPr>
                      <w:rFonts w:cs="Arial"/>
                      <w:lang w:eastAsia="ja-JP"/>
                    </w:rPr>
                    <w:t>Parameter description</w:t>
                  </w:r>
                </w:p>
              </w:tc>
              <w:tc>
                <w:tcPr>
                  <w:tcW w:w="708" w:type="dxa"/>
                  <w:tcBorders>
                    <w:left w:val="single" w:sz="4" w:space="0" w:color="auto"/>
                    <w:bottom w:val="single" w:sz="4" w:space="0" w:color="auto"/>
                    <w:right w:val="single" w:sz="4" w:space="0" w:color="auto"/>
                  </w:tcBorders>
                  <w:shd w:val="clear" w:color="auto" w:fill="auto"/>
                  <w:vAlign w:val="center"/>
                </w:tcPr>
                <w:p w14:paraId="33FCB413" w14:textId="77777777" w:rsidR="00546EFD" w:rsidRPr="001D386E" w:rsidRDefault="00546EFD" w:rsidP="00546EFD">
                  <w:pPr>
                    <w:pStyle w:val="TAH"/>
                    <w:rPr>
                      <w:rFonts w:cs="Arial"/>
                      <w:lang w:eastAsia="ja-JP"/>
                    </w:rPr>
                  </w:pPr>
                  <w:r w:rsidRPr="001D386E">
                    <w:rPr>
                      <w:rFonts w:cs="Arial"/>
                      <w:lang w:eastAsia="ja-JP"/>
                    </w:rPr>
                    <w:t>Unit</w:t>
                  </w:r>
                </w:p>
              </w:tc>
              <w:tc>
                <w:tcPr>
                  <w:tcW w:w="3827" w:type="dxa"/>
                  <w:tcBorders>
                    <w:left w:val="single" w:sz="4" w:space="0" w:color="auto"/>
                    <w:bottom w:val="single" w:sz="4" w:space="0" w:color="auto"/>
                    <w:right w:val="single" w:sz="4" w:space="0" w:color="auto"/>
                  </w:tcBorders>
                  <w:shd w:val="clear" w:color="auto" w:fill="auto"/>
                  <w:vAlign w:val="center"/>
                </w:tcPr>
                <w:p w14:paraId="00951E77" w14:textId="77777777" w:rsidR="00546EFD" w:rsidRPr="001D386E" w:rsidRDefault="00546EFD" w:rsidP="00546EFD">
                  <w:pPr>
                    <w:pStyle w:val="TAH"/>
                    <w:rPr>
                      <w:rFonts w:cs="Arial"/>
                      <w:lang w:eastAsia="ja-JP"/>
                    </w:rPr>
                  </w:pPr>
                  <w:r w:rsidRPr="001D386E">
                    <w:rPr>
                      <w:rFonts w:cs="Arial"/>
                      <w:lang w:eastAsia="ja-JP"/>
                    </w:rPr>
                    <w:t>Limit (NOTE 1)</w:t>
                  </w:r>
                </w:p>
              </w:tc>
              <w:tc>
                <w:tcPr>
                  <w:tcW w:w="2126" w:type="dxa"/>
                  <w:tcBorders>
                    <w:left w:val="single" w:sz="4" w:space="0" w:color="auto"/>
                    <w:bottom w:val="single" w:sz="4" w:space="0" w:color="auto"/>
                    <w:right w:val="single" w:sz="4" w:space="0" w:color="auto"/>
                  </w:tcBorders>
                  <w:shd w:val="clear" w:color="auto" w:fill="auto"/>
                  <w:vAlign w:val="center"/>
                </w:tcPr>
                <w:p w14:paraId="73BE5B5F" w14:textId="77777777" w:rsidR="00546EFD" w:rsidRPr="001D386E" w:rsidRDefault="00546EFD" w:rsidP="00546EFD">
                  <w:pPr>
                    <w:pStyle w:val="TAH"/>
                    <w:rPr>
                      <w:rFonts w:cs="Arial"/>
                      <w:lang w:eastAsia="ja-JP"/>
                    </w:rPr>
                  </w:pPr>
                  <w:r w:rsidRPr="001D386E">
                    <w:rPr>
                      <w:rFonts w:cs="Arial"/>
                      <w:lang w:eastAsia="ja-JP"/>
                    </w:rPr>
                    <w:t>Applicable Frequencies</w:t>
                  </w:r>
                </w:p>
              </w:tc>
            </w:tr>
            <w:tr w:rsidR="00546EFD" w:rsidRPr="001D386E" w14:paraId="4B001C34" w14:textId="77777777" w:rsidTr="00CA48A7">
              <w:trPr>
                <w:trHeight w:val="710"/>
                <w:jc w:val="center"/>
              </w:trPr>
              <w:tc>
                <w:tcPr>
                  <w:tcW w:w="1414" w:type="dxa"/>
                  <w:tcBorders>
                    <w:top w:val="single" w:sz="4" w:space="0" w:color="auto"/>
                    <w:bottom w:val="single" w:sz="4" w:space="0" w:color="auto"/>
                    <w:right w:val="single" w:sz="4" w:space="0" w:color="auto"/>
                  </w:tcBorders>
                  <w:shd w:val="clear" w:color="auto" w:fill="auto"/>
                  <w:vAlign w:val="center"/>
                </w:tcPr>
                <w:p w14:paraId="4D296DBC" w14:textId="77777777" w:rsidR="00546EFD" w:rsidRPr="001D386E" w:rsidRDefault="00546EFD" w:rsidP="00546EFD">
                  <w:pPr>
                    <w:pStyle w:val="TAH"/>
                    <w:rPr>
                      <w:rFonts w:cs="Arial"/>
                      <w:lang w:eastAsia="ja-JP"/>
                    </w:rPr>
                  </w:pPr>
                  <w:r w:rsidRPr="001D386E">
                    <w:rPr>
                      <w:rFonts w:cs="Arial"/>
                      <w:lang w:eastAsia="ja-JP"/>
                    </w:rPr>
                    <w:t>General</w:t>
                  </w:r>
                </w:p>
              </w:tc>
              <w:tc>
                <w:tcPr>
                  <w:tcW w:w="708" w:type="dxa"/>
                  <w:tcBorders>
                    <w:top w:val="single" w:sz="4" w:space="0" w:color="auto"/>
                    <w:left w:val="single" w:sz="4" w:space="0" w:color="auto"/>
                    <w:bottom w:val="single" w:sz="4" w:space="0" w:color="auto"/>
                    <w:right w:val="single" w:sz="4" w:space="0" w:color="auto"/>
                  </w:tcBorders>
                  <w:vAlign w:val="center"/>
                </w:tcPr>
                <w:p w14:paraId="4963A4E8" w14:textId="77777777" w:rsidR="00546EFD" w:rsidRPr="001D386E" w:rsidRDefault="00546EFD" w:rsidP="00546EFD">
                  <w:pPr>
                    <w:pStyle w:val="TAC"/>
                    <w:rPr>
                      <w:rFonts w:cs="Arial"/>
                      <w:lang w:eastAsia="ja-JP"/>
                    </w:rPr>
                  </w:pPr>
                  <w:r w:rsidRPr="001D386E">
                    <w:rPr>
                      <w:rFonts w:cs="Arial"/>
                      <w:lang w:eastAsia="ja-JP"/>
                    </w:rPr>
                    <w:t>dB</w:t>
                  </w:r>
                </w:p>
              </w:tc>
              <w:tc>
                <w:tcPr>
                  <w:tcW w:w="3827" w:type="dxa"/>
                  <w:tcBorders>
                    <w:top w:val="single" w:sz="4" w:space="0" w:color="auto"/>
                    <w:left w:val="single" w:sz="4" w:space="0" w:color="auto"/>
                    <w:bottom w:val="single" w:sz="4" w:space="0" w:color="auto"/>
                    <w:right w:val="single" w:sz="4" w:space="0" w:color="auto"/>
                  </w:tcBorders>
                  <w:vAlign w:val="center"/>
                </w:tcPr>
                <w:p w14:paraId="0EBA296F" w14:textId="77777777" w:rsidR="00546EFD" w:rsidRPr="001D7C04" w:rsidRDefault="00546EFD" w:rsidP="00546EFD">
                  <w:pPr>
                    <w:pStyle w:val="TAC"/>
                    <w:rPr>
                      <w:rFonts w:cs="Arial"/>
                      <w:lang w:eastAsia="ja-JP"/>
                    </w:rPr>
                  </w:pPr>
                  <m:oMathPara>
                    <m:oMathParaPr>
                      <m:jc m:val="center"/>
                    </m:oMathParaPr>
                    <m:oMath>
                      <m:r>
                        <w:rPr>
                          <w:rFonts w:ascii="Cambria Math" w:hAnsi="Cambria Math" w:cs="Arial"/>
                          <w:lang w:eastAsia="ja-JP"/>
                        </w:rPr>
                        <m:t>max</m:t>
                      </m:r>
                      <m:d>
                        <m:dPr>
                          <m:begChr m:val="{"/>
                          <m:endChr m:val=""/>
                          <m:ctrlPr>
                            <w:rPr>
                              <w:rFonts w:ascii="Cambria Math" w:hAnsi="Cambria Math" w:cs="Arial"/>
                              <w:i/>
                              <w:lang w:eastAsia="ja-JP"/>
                            </w:rPr>
                          </m:ctrlPr>
                        </m:dPr>
                        <m:e>
                          <m:r>
                            <w:rPr>
                              <w:rFonts w:ascii="Cambria Math" w:hAnsi="Cambria Math" w:cs="Arial"/>
                              <w:lang w:eastAsia="ja-JP"/>
                            </w:rPr>
                            <m:t>-</m:t>
                          </m:r>
                          <m:r>
                            <w:rPr>
                              <w:rFonts w:ascii="Cambria Math" w:hAnsi="Cambria Math" w:cs="Arial"/>
                              <w:color w:val="FF0000"/>
                              <w:lang w:eastAsia="ja-JP"/>
                            </w:rPr>
                            <m:t>18</m:t>
                          </m:r>
                          <m:r>
                            <w:rPr>
                              <w:rFonts w:ascii="Cambria Math" w:hAnsi="Cambria Math" w:cs="Arial"/>
                              <w:lang w:eastAsia="ja-JP"/>
                            </w:rPr>
                            <m:t>-10∙</m:t>
                          </m:r>
                          <m:func>
                            <m:funcPr>
                              <m:ctrlPr>
                                <w:rPr>
                                  <w:rFonts w:ascii="Cambria Math" w:hAnsi="Cambria Math" w:cs="Arial"/>
                                  <w:i/>
                                  <w:lang w:eastAsia="ja-JP"/>
                                </w:rPr>
                              </m:ctrlPr>
                            </m:funcPr>
                            <m:fName>
                              <m:sSub>
                                <m:sSubPr>
                                  <m:ctrlPr>
                                    <w:rPr>
                                      <w:rFonts w:ascii="Cambria Math" w:hAnsi="Cambria Math" w:cs="Arial"/>
                                      <w:i/>
                                      <w:lang w:eastAsia="ja-JP"/>
                                    </w:rPr>
                                  </m:ctrlPr>
                                </m:sSubPr>
                                <m:e>
                                  <m:r>
                                    <m:rPr>
                                      <m:sty m:val="p"/>
                                    </m:rPr>
                                    <w:rPr>
                                      <w:rFonts w:ascii="Cambria Math" w:hAnsi="Cambria Math" w:cs="Arial"/>
                                      <w:lang w:eastAsia="ja-JP"/>
                                    </w:rPr>
                                    <m:t>log</m:t>
                                  </m:r>
                                </m:e>
                                <m:sub>
                                  <m:r>
                                    <w:rPr>
                                      <w:rFonts w:ascii="Cambria Math" w:hAnsi="Cambria Math" w:cs="Arial"/>
                                      <w:lang w:eastAsia="ja-JP"/>
                                    </w:rPr>
                                    <m:t>10</m:t>
                                  </m:r>
                                </m:sub>
                              </m:sSub>
                            </m:fName>
                            <m:e>
                              <m:d>
                                <m:dPr>
                                  <m:ctrlPr>
                                    <w:rPr>
                                      <w:rFonts w:ascii="Cambria Math" w:hAnsi="Cambria Math" w:cs="Arial"/>
                                      <w:i/>
                                      <w:lang w:eastAsia="ja-JP"/>
                                    </w:rPr>
                                  </m:ctrlPr>
                                </m:dPr>
                                <m:e>
                                  <m:sSub>
                                    <m:sSubPr>
                                      <m:ctrlPr>
                                        <w:rPr>
                                          <w:rFonts w:ascii="Cambria Math" w:hAnsi="Cambria Math" w:cs="Arial"/>
                                          <w:i/>
                                          <w:lang w:eastAsia="ja-JP"/>
                                        </w:rPr>
                                      </m:ctrlPr>
                                    </m:sSubPr>
                                    <m:e>
                                      <m:r>
                                        <w:rPr>
                                          <w:rFonts w:ascii="Cambria Math" w:hAnsi="Cambria Math" w:cs="Arial"/>
                                          <w:lang w:eastAsia="ja-JP"/>
                                        </w:rPr>
                                        <m:t>N</m:t>
                                      </m:r>
                                    </m:e>
                                    <m:sub>
                                      <m:r>
                                        <w:rPr>
                                          <w:rFonts w:ascii="Cambria Math" w:hAnsi="Cambria Math" w:cs="Arial"/>
                                          <w:lang w:eastAsia="ja-JP"/>
                                        </w:rPr>
                                        <m:t>tone</m:t>
                                      </m:r>
                                    </m:sub>
                                  </m:sSub>
                                  <m:r>
                                    <w:rPr>
                                      <w:rFonts w:ascii="Cambria Math" w:hAnsi="Cambria Math" w:cs="Arial"/>
                                      <w:lang w:eastAsia="ja-JP"/>
                                    </w:rPr>
                                    <m:t>/</m:t>
                                  </m:r>
                                  <m:sSub>
                                    <m:sSubPr>
                                      <m:ctrlPr>
                                        <w:rPr>
                                          <w:rFonts w:ascii="Cambria Math" w:hAnsi="Cambria Math" w:cs="Arial"/>
                                          <w:i/>
                                          <w:lang w:eastAsia="ja-JP"/>
                                        </w:rPr>
                                      </m:ctrlPr>
                                    </m:sSubPr>
                                    <m:e>
                                      <m:r>
                                        <w:rPr>
                                          <w:rFonts w:ascii="Cambria Math" w:hAnsi="Cambria Math" w:cs="Arial"/>
                                          <w:lang w:eastAsia="ja-JP"/>
                                        </w:rPr>
                                        <m:t>L</m:t>
                                      </m:r>
                                    </m:e>
                                    <m:sub>
                                      <m:r>
                                        <w:rPr>
                                          <w:rFonts w:ascii="Cambria Math" w:hAnsi="Cambria Math" w:cs="Arial"/>
                                          <w:lang w:eastAsia="ja-JP"/>
                                        </w:rPr>
                                        <m:t>Ctone</m:t>
                                      </m:r>
                                    </m:sub>
                                  </m:sSub>
                                </m:e>
                              </m:d>
                              <m:r>
                                <w:rPr>
                                  <w:rFonts w:ascii="Cambria Math" w:hAnsi="Cambria Math" w:cs="Arial"/>
                                  <w:lang w:eastAsia="ja-JP"/>
                                </w:rPr>
                                <m:t>,</m:t>
                              </m:r>
                            </m:e>
                          </m:func>
                          <m:r>
                            <w:rPr>
                              <w:rFonts w:ascii="Cambria Math" w:hAnsi="Cambria Math" w:cs="Arial"/>
                              <w:lang w:eastAsia="ja-JP"/>
                            </w:rPr>
                            <m:t xml:space="preserve"> </m:t>
                          </m:r>
                        </m:e>
                      </m:d>
                    </m:oMath>
                  </m:oMathPara>
                </w:p>
                <w:p w14:paraId="16D42FF0" w14:textId="77777777" w:rsidR="00546EFD" w:rsidRPr="001D7C04" w:rsidRDefault="00546EFD" w:rsidP="00546EFD">
                  <w:pPr>
                    <w:pStyle w:val="TAC"/>
                    <w:rPr>
                      <w:rFonts w:cs="Arial"/>
                      <w:lang w:eastAsia="ja-JP"/>
                    </w:rPr>
                  </w:pPr>
                  <m:oMathPara>
                    <m:oMathParaPr>
                      <m:jc m:val="center"/>
                    </m:oMathParaPr>
                    <m:oMath>
                      <m:r>
                        <w:rPr>
                          <w:rFonts w:ascii="Cambria Math" w:hAnsi="Cambria Math" w:cs="Arial"/>
                          <w:color w:val="FF0000"/>
                          <w:lang w:eastAsia="ja-JP"/>
                        </w:rPr>
                        <m:t>20∙</m:t>
                      </m:r>
                      <m:func>
                        <m:funcPr>
                          <m:ctrlPr>
                            <w:rPr>
                              <w:rFonts w:ascii="Cambria Math" w:hAnsi="Cambria Math" w:cs="Arial"/>
                              <w:i/>
                              <w:color w:val="FF0000"/>
                              <w:lang w:eastAsia="ja-JP"/>
                            </w:rPr>
                          </m:ctrlPr>
                        </m:funcPr>
                        <m:fName>
                          <m:sSub>
                            <m:sSubPr>
                              <m:ctrlPr>
                                <w:rPr>
                                  <w:rFonts w:ascii="Cambria Math" w:hAnsi="Cambria Math" w:cs="Arial"/>
                                  <w:i/>
                                  <w:color w:val="FF0000"/>
                                  <w:lang w:eastAsia="ja-JP"/>
                                </w:rPr>
                              </m:ctrlPr>
                            </m:sSubPr>
                            <m:e>
                              <m:r>
                                <m:rPr>
                                  <m:sty m:val="p"/>
                                </m:rPr>
                                <w:rPr>
                                  <w:rFonts w:ascii="Cambria Math" w:hAnsi="Cambria Math" w:cs="Arial"/>
                                  <w:color w:val="FF0000"/>
                                  <w:lang w:eastAsia="ja-JP"/>
                                </w:rPr>
                                <m:t>log</m:t>
                              </m:r>
                            </m:e>
                            <m:sub>
                              <m:r>
                                <w:rPr>
                                  <w:rFonts w:ascii="Cambria Math" w:hAnsi="Cambria Math" w:cs="Arial"/>
                                  <w:color w:val="FF0000"/>
                                  <w:lang w:eastAsia="ja-JP"/>
                                </w:rPr>
                                <m:t>10</m:t>
                              </m:r>
                            </m:sub>
                          </m:sSub>
                        </m:fName>
                        <m:e>
                          <m:r>
                            <w:rPr>
                              <w:rFonts w:ascii="Cambria Math" w:hAnsi="Cambria Math" w:cs="Arial"/>
                              <w:color w:val="FF0000"/>
                              <w:lang w:eastAsia="ja-JP"/>
                            </w:rPr>
                            <m:t>EVM</m:t>
                          </m:r>
                        </m:e>
                      </m:func>
                      <m:r>
                        <w:rPr>
                          <w:rFonts w:ascii="Cambria Math" w:hAnsi="Cambria Math" w:cs="Arial"/>
                          <w:color w:val="FF0000"/>
                          <w:lang w:eastAsia="ja-JP"/>
                        </w:rPr>
                        <m:t>-3</m:t>
                      </m:r>
                      <m:r>
                        <w:rPr>
                          <w:rFonts w:ascii="Cambria Math" w:hAnsi="Cambria Math" w:cs="Arial"/>
                          <w:lang w:eastAsia="ja-JP"/>
                        </w:rPr>
                        <m:t>-5∙</m:t>
                      </m:r>
                      <m:d>
                        <m:dPr>
                          <m:ctrlPr>
                            <w:rPr>
                              <w:rFonts w:ascii="Cambria Math" w:hAnsi="Cambria Math" w:cs="Arial"/>
                              <w:i/>
                              <w:lang w:eastAsia="ja-JP"/>
                            </w:rPr>
                          </m:ctrlPr>
                        </m:dPr>
                        <m:e>
                          <m:d>
                            <m:dPr>
                              <m:begChr m:val="|"/>
                              <m:endChr m:val="|"/>
                              <m:ctrlPr>
                                <w:rPr>
                                  <w:rFonts w:ascii="Cambria Math" w:hAnsi="Cambria Math" w:cs="Arial"/>
                                  <w:i/>
                                  <w:lang w:eastAsia="ja-JP"/>
                                </w:rPr>
                              </m:ctrlPr>
                            </m:dPr>
                            <m:e>
                              <m:sSub>
                                <m:sSubPr>
                                  <m:ctrlPr>
                                    <w:rPr>
                                      <w:rFonts w:ascii="Cambria Math" w:hAnsi="Cambria Math" w:cs="Arial"/>
                                      <w:i/>
                                      <w:lang w:eastAsia="ja-JP"/>
                                    </w:rPr>
                                  </m:ctrlPr>
                                </m:sSubPr>
                                <m:e>
                                  <m:r>
                                    <w:rPr>
                                      <w:rFonts w:ascii="Cambria Math" w:hAnsi="Cambria Math" w:cs="Arial"/>
                                      <w:lang w:eastAsia="ja-JP"/>
                                    </w:rPr>
                                    <m:t>∆</m:t>
                                  </m:r>
                                </m:e>
                                <m:sub>
                                  <m:r>
                                    <w:rPr>
                                      <w:rFonts w:ascii="Cambria Math" w:hAnsi="Cambria Math" w:cs="Arial"/>
                                      <w:lang w:eastAsia="ja-JP"/>
                                    </w:rPr>
                                    <m:t>tone</m:t>
                                  </m:r>
                                </m:sub>
                              </m:sSub>
                            </m:e>
                          </m:d>
                          <m:r>
                            <w:rPr>
                              <w:rFonts w:ascii="Cambria Math" w:hAnsi="Cambria Math" w:cs="Arial"/>
                              <w:lang w:eastAsia="ja-JP"/>
                            </w:rPr>
                            <m:t>-1</m:t>
                          </m:r>
                        </m:e>
                      </m:d>
                      <m:r>
                        <w:rPr>
                          <w:rFonts w:ascii="Cambria Math" w:hAnsi="Cambria Math" w:cs="Arial"/>
                          <w:lang w:eastAsia="ja-JP"/>
                        </w:rPr>
                        <m:t>/</m:t>
                      </m:r>
                      <m:sSub>
                        <m:sSubPr>
                          <m:ctrlPr>
                            <w:rPr>
                              <w:rFonts w:ascii="Cambria Math" w:hAnsi="Cambria Math" w:cs="Arial"/>
                              <w:i/>
                              <w:lang w:eastAsia="ja-JP"/>
                            </w:rPr>
                          </m:ctrlPr>
                        </m:sSubPr>
                        <m:e>
                          <m:r>
                            <w:rPr>
                              <w:rFonts w:ascii="Cambria Math" w:hAnsi="Cambria Math" w:cs="Arial"/>
                              <w:lang w:eastAsia="ja-JP"/>
                            </w:rPr>
                            <m:t>L</m:t>
                          </m:r>
                        </m:e>
                        <m:sub>
                          <m:r>
                            <w:rPr>
                              <w:rFonts w:ascii="Cambria Math" w:hAnsi="Cambria Math" w:cs="Arial"/>
                              <w:lang w:eastAsia="ja-JP"/>
                            </w:rPr>
                            <m:t>Ctone</m:t>
                          </m:r>
                        </m:sub>
                      </m:sSub>
                      <m:r>
                        <w:rPr>
                          <w:rFonts w:ascii="Cambria Math" w:hAnsi="Cambria Math" w:cs="Arial"/>
                          <w:lang w:eastAsia="ja-JP"/>
                        </w:rPr>
                        <m:t>,</m:t>
                      </m:r>
                    </m:oMath>
                  </m:oMathPara>
                </w:p>
                <w:p w14:paraId="653FCEE5" w14:textId="77777777" w:rsidR="00546EFD" w:rsidRPr="001D7C04" w:rsidRDefault="00546EFD" w:rsidP="00546EFD">
                  <w:pPr>
                    <w:pStyle w:val="TAC"/>
                    <w:rPr>
                      <w:rFonts w:cs="Arial"/>
                      <w:lang w:eastAsia="ja-JP"/>
                    </w:rPr>
                  </w:pPr>
                  <m:oMathPara>
                    <m:oMathParaPr>
                      <m:jc m:val="center"/>
                    </m:oMathParaPr>
                    <m:oMath>
                      <m:r>
                        <w:rPr>
                          <w:rFonts w:ascii="Cambria Math" w:hAnsi="Cambria Math" w:cs="Arial"/>
                          <w:lang w:eastAsia="ja-JP"/>
                        </w:rPr>
                        <m:t>-57dBm/(3.75 kHz or 15 kHz)-</m:t>
                      </m:r>
                      <m:d>
                        <m:dPr>
                          <m:begChr m:val=""/>
                          <m:endChr m:val="}"/>
                          <m:ctrlPr>
                            <w:rPr>
                              <w:rFonts w:ascii="Cambria Math" w:hAnsi="Cambria Math" w:cs="Arial"/>
                              <w:i/>
                              <w:lang w:eastAsia="ja-JP"/>
                            </w:rPr>
                          </m:ctrlPr>
                        </m:dPr>
                        <m:e>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tone</m:t>
                              </m:r>
                            </m:sub>
                          </m:sSub>
                        </m:e>
                      </m:d>
                    </m:oMath>
                  </m:oMathPara>
                </w:p>
              </w:tc>
              <w:tc>
                <w:tcPr>
                  <w:tcW w:w="2126" w:type="dxa"/>
                  <w:tcBorders>
                    <w:top w:val="single" w:sz="4" w:space="0" w:color="auto"/>
                    <w:left w:val="single" w:sz="4" w:space="0" w:color="auto"/>
                    <w:bottom w:val="single" w:sz="4" w:space="0" w:color="auto"/>
                    <w:right w:val="single" w:sz="4" w:space="0" w:color="auto"/>
                  </w:tcBorders>
                  <w:vAlign w:val="center"/>
                </w:tcPr>
                <w:p w14:paraId="5BF116AF" w14:textId="77777777" w:rsidR="00546EFD" w:rsidRPr="001D386E" w:rsidRDefault="00546EFD" w:rsidP="00546EFD">
                  <w:pPr>
                    <w:pStyle w:val="TAC"/>
                    <w:rPr>
                      <w:rFonts w:cs="Arial"/>
                      <w:lang w:eastAsia="ja-JP"/>
                    </w:rPr>
                  </w:pPr>
                  <w:r w:rsidRPr="001D386E">
                    <w:rPr>
                      <w:rFonts w:cs="Arial"/>
                      <w:lang w:eastAsia="ja-JP"/>
                    </w:rPr>
                    <w:t>Any non-allocated (NOTE 2)</w:t>
                  </w:r>
                </w:p>
              </w:tc>
            </w:tr>
          </w:tbl>
          <w:p w14:paraId="1406FC26" w14:textId="7EC6D0FB" w:rsidR="00B92A68" w:rsidRDefault="00B92A68" w:rsidP="00D66EA2">
            <w:pPr>
              <w:rPr>
                <w:color w:val="000000" w:themeColor="text1"/>
                <w:lang w:eastAsia="zh-CN"/>
              </w:rPr>
            </w:pPr>
          </w:p>
        </w:tc>
      </w:tr>
    </w:tbl>
    <w:p w14:paraId="1379CFBE" w14:textId="77777777" w:rsidR="00B92A68" w:rsidRDefault="00B92A68" w:rsidP="00D66EA2">
      <w:pPr>
        <w:rPr>
          <w:color w:val="000000" w:themeColor="text1"/>
          <w:lang w:eastAsia="zh-CN"/>
        </w:rPr>
      </w:pPr>
    </w:p>
    <w:p w14:paraId="4DAF97DD" w14:textId="77777777" w:rsidR="00B24177" w:rsidRDefault="00B24177" w:rsidP="00D66EA2">
      <w:pPr>
        <w:rPr>
          <w:color w:val="000000" w:themeColor="text1"/>
          <w:lang w:eastAsia="zh-CN"/>
        </w:rPr>
      </w:pPr>
      <w:r>
        <w:rPr>
          <w:color w:val="000000" w:themeColor="text1"/>
          <w:lang w:eastAsia="zh-CN"/>
        </w:rPr>
        <w:t>In RAN4#99-e, there was consensus on the change to the 2</w:t>
      </w:r>
      <w:r w:rsidRPr="00B24177">
        <w:rPr>
          <w:color w:val="000000" w:themeColor="text1"/>
          <w:vertAlign w:val="superscript"/>
          <w:lang w:eastAsia="zh-CN"/>
        </w:rPr>
        <w:t>nd</w:t>
      </w:r>
      <w:r>
        <w:rPr>
          <w:color w:val="000000" w:themeColor="text1"/>
          <w:lang w:eastAsia="zh-CN"/>
        </w:rPr>
        <w:t xml:space="preserve"> term, but FFS was requested for the change to the 1</w:t>
      </w:r>
      <w:r w:rsidRPr="00B24177">
        <w:rPr>
          <w:color w:val="000000" w:themeColor="text1"/>
          <w:vertAlign w:val="superscript"/>
          <w:lang w:eastAsia="zh-CN"/>
        </w:rPr>
        <w:t>st</w:t>
      </w:r>
      <w:r>
        <w:rPr>
          <w:color w:val="000000" w:themeColor="text1"/>
          <w:lang w:eastAsia="zh-CN"/>
        </w:rPr>
        <w:t xml:space="preserve"> term. Let us denote the two IBE requirements as follows:</w:t>
      </w:r>
    </w:p>
    <w:p w14:paraId="340F0617" w14:textId="553B9B3D" w:rsidR="00B24177" w:rsidRDefault="0015774A" w:rsidP="00B24177">
      <w:pPr>
        <w:pStyle w:val="ListParagraph"/>
        <w:numPr>
          <w:ilvl w:val="0"/>
          <w:numId w:val="7"/>
        </w:numPr>
        <w:rPr>
          <w:color w:val="000000" w:themeColor="text1"/>
          <w:lang w:eastAsia="zh-CN"/>
        </w:rPr>
      </w:pPr>
      <w:r>
        <w:rPr>
          <w:color w:val="000000" w:themeColor="text1"/>
          <w:lang w:eastAsia="zh-CN"/>
        </w:rPr>
        <w:t>IBE Mask #1: only include the EVM to the 2</w:t>
      </w:r>
      <w:r w:rsidRPr="0015774A">
        <w:rPr>
          <w:color w:val="000000" w:themeColor="text1"/>
          <w:vertAlign w:val="superscript"/>
          <w:lang w:eastAsia="zh-CN"/>
        </w:rPr>
        <w:t>nd</w:t>
      </w:r>
      <w:r>
        <w:rPr>
          <w:color w:val="000000" w:themeColor="text1"/>
          <w:lang w:eastAsia="zh-CN"/>
        </w:rPr>
        <w:t xml:space="preserve"> term of the general requirement</w:t>
      </w:r>
    </w:p>
    <w:p w14:paraId="00C9EBD1" w14:textId="207B5FE0" w:rsidR="0015774A" w:rsidRPr="00B24177" w:rsidRDefault="0015774A" w:rsidP="00B24177">
      <w:pPr>
        <w:pStyle w:val="ListParagraph"/>
        <w:numPr>
          <w:ilvl w:val="0"/>
          <w:numId w:val="7"/>
        </w:numPr>
        <w:rPr>
          <w:color w:val="000000" w:themeColor="text1"/>
          <w:lang w:eastAsia="zh-CN"/>
        </w:rPr>
      </w:pPr>
      <w:r>
        <w:rPr>
          <w:color w:val="000000" w:themeColor="text1"/>
          <w:lang w:eastAsia="zh-CN"/>
        </w:rPr>
        <w:t>IBE Mask #2: Update the max SNR in the 1</w:t>
      </w:r>
      <w:r w:rsidRPr="0015774A">
        <w:rPr>
          <w:color w:val="000000" w:themeColor="text1"/>
          <w:vertAlign w:val="superscript"/>
          <w:lang w:eastAsia="zh-CN"/>
        </w:rPr>
        <w:t>st</w:t>
      </w:r>
      <w:r>
        <w:rPr>
          <w:color w:val="000000" w:themeColor="text1"/>
          <w:lang w:eastAsia="zh-CN"/>
        </w:rPr>
        <w:t xml:space="preserve"> term and include the EVM to the 2</w:t>
      </w:r>
      <w:r w:rsidRPr="0015774A">
        <w:rPr>
          <w:color w:val="000000" w:themeColor="text1"/>
          <w:vertAlign w:val="superscript"/>
          <w:lang w:eastAsia="zh-CN"/>
        </w:rPr>
        <w:t>nd</w:t>
      </w:r>
      <w:r>
        <w:rPr>
          <w:color w:val="000000" w:themeColor="text1"/>
          <w:lang w:eastAsia="zh-CN"/>
        </w:rPr>
        <w:t xml:space="preserve"> term of the general requirement</w:t>
      </w:r>
    </w:p>
    <w:p w14:paraId="4A5D2317" w14:textId="2280F987" w:rsidR="00D6773A" w:rsidRDefault="00BE30B1" w:rsidP="00D66EA2">
      <w:pPr>
        <w:rPr>
          <w:color w:val="000000" w:themeColor="text1"/>
          <w:lang w:eastAsia="zh-CN"/>
        </w:rPr>
      </w:pPr>
      <w:r>
        <w:rPr>
          <w:color w:val="000000" w:themeColor="text1"/>
          <w:lang w:eastAsia="zh-CN"/>
        </w:rPr>
        <w:t xml:space="preserve">A more graphic comparison </w:t>
      </w:r>
      <w:r w:rsidR="0015774A">
        <w:rPr>
          <w:color w:val="000000" w:themeColor="text1"/>
          <w:lang w:eastAsia="zh-CN"/>
        </w:rPr>
        <w:t>of the two IBE definition</w:t>
      </w:r>
      <w:r w:rsidR="002C76CB">
        <w:rPr>
          <w:color w:val="000000" w:themeColor="text1"/>
          <w:lang w:eastAsia="zh-CN"/>
        </w:rPr>
        <w:t>s</w:t>
      </w:r>
      <w:r w:rsidR="0015774A">
        <w:rPr>
          <w:color w:val="000000" w:themeColor="text1"/>
          <w:lang w:eastAsia="zh-CN"/>
        </w:rPr>
        <w:t xml:space="preserve"> </w:t>
      </w:r>
      <w:r>
        <w:rPr>
          <w:color w:val="000000" w:themeColor="text1"/>
          <w:lang w:eastAsia="zh-CN"/>
        </w:rPr>
        <w:t xml:space="preserve">is shown in Table 2, where </w:t>
      </w:r>
      <w:r w:rsidR="0015774A">
        <w:rPr>
          <w:color w:val="000000" w:themeColor="text1"/>
          <w:lang w:eastAsia="zh-CN"/>
        </w:rPr>
        <w:t>the IBE masks for 3/6 tones</w:t>
      </w:r>
      <w:r>
        <w:rPr>
          <w:color w:val="000000" w:themeColor="text1"/>
          <w:lang w:eastAsia="zh-CN"/>
        </w:rPr>
        <w:t xml:space="preserve"> are plotted.</w:t>
      </w:r>
    </w:p>
    <w:p w14:paraId="721817DF" w14:textId="77777777" w:rsidR="00D6773A" w:rsidRDefault="00D6773A" w:rsidP="00D66EA2">
      <w:pPr>
        <w:rPr>
          <w:color w:val="000000" w:themeColor="text1"/>
          <w:lang w:eastAsia="zh-CN"/>
        </w:rPr>
      </w:pPr>
    </w:p>
    <w:p w14:paraId="157DB5D2" w14:textId="6CB86588" w:rsidR="00BE30B1" w:rsidRDefault="00BE30B1" w:rsidP="00BE30B1">
      <w:pPr>
        <w:pStyle w:val="Caption"/>
        <w:keepNext/>
        <w:jc w:val="center"/>
      </w:pPr>
      <w:r>
        <w:lastRenderedPageBreak/>
        <w:t xml:space="preserve">Table </w:t>
      </w:r>
      <w:r>
        <w:fldChar w:fldCharType="begin"/>
      </w:r>
      <w:r>
        <w:instrText xml:space="preserve"> SEQ Table \* ARABIC </w:instrText>
      </w:r>
      <w:r>
        <w:fldChar w:fldCharType="separate"/>
      </w:r>
      <w:r w:rsidR="00194F42">
        <w:rPr>
          <w:noProof/>
        </w:rPr>
        <w:t>2</w:t>
      </w:r>
      <w:r>
        <w:fldChar w:fldCharType="end"/>
      </w:r>
      <w:r>
        <w:t>: Illustration of In-band Emission Masks</w:t>
      </w:r>
    </w:p>
    <w:tbl>
      <w:tblPr>
        <w:tblStyle w:val="TableGrid"/>
        <w:tblW w:w="0" w:type="auto"/>
        <w:tblLook w:val="04A0" w:firstRow="1" w:lastRow="0" w:firstColumn="1" w:lastColumn="0" w:noHBand="0" w:noVBand="1"/>
      </w:tblPr>
      <w:tblGrid>
        <w:gridCol w:w="619"/>
        <w:gridCol w:w="4490"/>
        <w:gridCol w:w="4522"/>
      </w:tblGrid>
      <w:tr w:rsidR="007C585C" w14:paraId="0E24EFA0" w14:textId="77777777" w:rsidTr="005F55AE">
        <w:trPr>
          <w:trHeight w:val="432"/>
        </w:trPr>
        <w:tc>
          <w:tcPr>
            <w:tcW w:w="619" w:type="dxa"/>
          </w:tcPr>
          <w:p w14:paraId="1683F33C" w14:textId="77777777" w:rsidR="00D6773A" w:rsidRDefault="00D6773A" w:rsidP="00D66EA2">
            <w:pPr>
              <w:rPr>
                <w:color w:val="000000" w:themeColor="text1"/>
                <w:lang w:eastAsia="zh-CN"/>
              </w:rPr>
            </w:pPr>
          </w:p>
        </w:tc>
        <w:tc>
          <w:tcPr>
            <w:tcW w:w="4490" w:type="dxa"/>
            <w:vAlign w:val="center"/>
          </w:tcPr>
          <w:p w14:paraId="5F170203" w14:textId="1BC3F69C" w:rsidR="00D6773A" w:rsidRPr="00A03632" w:rsidRDefault="0015774A" w:rsidP="007C585C">
            <w:pPr>
              <w:jc w:val="center"/>
              <w:rPr>
                <w:b/>
                <w:color w:val="000000" w:themeColor="text1"/>
                <w:lang w:eastAsia="zh-CN"/>
              </w:rPr>
            </w:pPr>
            <w:r w:rsidRPr="00A03632">
              <w:rPr>
                <w:b/>
                <w:color w:val="000000" w:themeColor="text1"/>
                <w:lang w:eastAsia="zh-CN"/>
              </w:rPr>
              <w:t>IBE Mask</w:t>
            </w:r>
            <w:r w:rsidR="002C76CB" w:rsidRPr="00A03632">
              <w:rPr>
                <w:b/>
                <w:color w:val="000000" w:themeColor="text1"/>
                <w:lang w:eastAsia="zh-CN"/>
              </w:rPr>
              <w:t xml:space="preserve"> </w:t>
            </w:r>
            <w:r w:rsidRPr="00A03632">
              <w:rPr>
                <w:b/>
                <w:color w:val="000000" w:themeColor="text1"/>
                <w:lang w:eastAsia="zh-CN"/>
              </w:rPr>
              <w:t>#1</w:t>
            </w:r>
          </w:p>
        </w:tc>
        <w:tc>
          <w:tcPr>
            <w:tcW w:w="4522" w:type="dxa"/>
            <w:vAlign w:val="center"/>
          </w:tcPr>
          <w:p w14:paraId="10B5164B" w14:textId="47D87871" w:rsidR="00D6773A" w:rsidRPr="00A03632" w:rsidRDefault="0015774A" w:rsidP="007C585C">
            <w:pPr>
              <w:jc w:val="center"/>
              <w:rPr>
                <w:b/>
                <w:color w:val="000000" w:themeColor="text1"/>
                <w:lang w:eastAsia="zh-CN"/>
              </w:rPr>
            </w:pPr>
            <w:r w:rsidRPr="00A03632">
              <w:rPr>
                <w:b/>
                <w:color w:val="000000" w:themeColor="text1"/>
                <w:lang w:eastAsia="zh-CN"/>
              </w:rPr>
              <w:t>IBE Mask</w:t>
            </w:r>
            <w:r w:rsidR="002C76CB" w:rsidRPr="00A03632">
              <w:rPr>
                <w:b/>
                <w:color w:val="000000" w:themeColor="text1"/>
                <w:lang w:eastAsia="zh-CN"/>
              </w:rPr>
              <w:t xml:space="preserve"> </w:t>
            </w:r>
            <w:r w:rsidRPr="00A03632">
              <w:rPr>
                <w:b/>
                <w:color w:val="000000" w:themeColor="text1"/>
                <w:lang w:eastAsia="zh-CN"/>
              </w:rPr>
              <w:t>#2</w:t>
            </w:r>
          </w:p>
        </w:tc>
      </w:tr>
      <w:tr w:rsidR="005F55AE" w14:paraId="63B1BB29" w14:textId="77777777" w:rsidTr="000066EA">
        <w:trPr>
          <w:cantSplit/>
          <w:trHeight w:val="1134"/>
        </w:trPr>
        <w:tc>
          <w:tcPr>
            <w:tcW w:w="619" w:type="dxa"/>
            <w:vMerge w:val="restart"/>
            <w:textDirection w:val="tbRl"/>
            <w:vAlign w:val="center"/>
          </w:tcPr>
          <w:p w14:paraId="3A097F54" w14:textId="487ECC35" w:rsidR="005F55AE" w:rsidRPr="00A03632" w:rsidRDefault="005F55AE" w:rsidP="002A3B62">
            <w:pPr>
              <w:ind w:left="113" w:right="113"/>
              <w:jc w:val="center"/>
              <w:rPr>
                <w:b/>
                <w:color w:val="000000" w:themeColor="text1"/>
                <w:lang w:eastAsia="zh-CN"/>
              </w:rPr>
            </w:pPr>
            <w:r w:rsidRPr="00A03632">
              <w:rPr>
                <w:b/>
                <w:color w:val="000000" w:themeColor="text1"/>
                <w:lang w:eastAsia="zh-CN"/>
              </w:rPr>
              <w:t>3-tone</w:t>
            </w:r>
          </w:p>
        </w:tc>
        <w:tc>
          <w:tcPr>
            <w:tcW w:w="4490" w:type="dxa"/>
          </w:tcPr>
          <w:p w14:paraId="196687D2" w14:textId="284BF1C1" w:rsidR="005F55AE" w:rsidRDefault="005F55AE" w:rsidP="00D66EA2">
            <w:pPr>
              <w:rPr>
                <w:color w:val="000000" w:themeColor="text1"/>
                <w:lang w:eastAsia="zh-CN"/>
              </w:rPr>
            </w:pPr>
            <w:r w:rsidRPr="002A3B62">
              <w:rPr>
                <w:noProof/>
                <w:color w:val="000000" w:themeColor="text1"/>
                <w:lang w:eastAsia="zh-CN"/>
              </w:rPr>
              <w:drawing>
                <wp:inline distT="0" distB="0" distL="0" distR="0" wp14:anchorId="2BCAA6E4" wp14:editId="3C90AF77">
                  <wp:extent cx="2839385" cy="213072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63583" cy="2148883"/>
                          </a:xfrm>
                          <a:prstGeom prst="rect">
                            <a:avLst/>
                          </a:prstGeom>
                          <a:noFill/>
                          <a:ln>
                            <a:noFill/>
                          </a:ln>
                        </pic:spPr>
                      </pic:pic>
                    </a:graphicData>
                  </a:graphic>
                </wp:inline>
              </w:drawing>
            </w:r>
          </w:p>
        </w:tc>
        <w:tc>
          <w:tcPr>
            <w:tcW w:w="4522" w:type="dxa"/>
          </w:tcPr>
          <w:p w14:paraId="0D752FA6" w14:textId="13F6A182" w:rsidR="005F55AE" w:rsidRDefault="005F55AE" w:rsidP="00D66EA2">
            <w:pPr>
              <w:rPr>
                <w:color w:val="000000" w:themeColor="text1"/>
                <w:lang w:eastAsia="zh-CN"/>
              </w:rPr>
            </w:pPr>
            <w:r w:rsidRPr="007C585C">
              <w:rPr>
                <w:noProof/>
                <w:color w:val="000000" w:themeColor="text1"/>
                <w:lang w:eastAsia="zh-CN"/>
              </w:rPr>
              <w:drawing>
                <wp:inline distT="0" distB="0" distL="0" distR="0" wp14:anchorId="779EC0FB" wp14:editId="205E4556">
                  <wp:extent cx="2869313" cy="21531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1204" cy="2162103"/>
                          </a:xfrm>
                          <a:prstGeom prst="rect">
                            <a:avLst/>
                          </a:prstGeom>
                          <a:noFill/>
                          <a:ln>
                            <a:noFill/>
                          </a:ln>
                        </pic:spPr>
                      </pic:pic>
                    </a:graphicData>
                  </a:graphic>
                </wp:inline>
              </w:drawing>
            </w:r>
          </w:p>
        </w:tc>
      </w:tr>
      <w:tr w:rsidR="005F55AE" w14:paraId="065CC45A" w14:textId="77777777" w:rsidTr="005F55AE">
        <w:trPr>
          <w:cantSplit/>
          <w:trHeight w:val="1134"/>
        </w:trPr>
        <w:tc>
          <w:tcPr>
            <w:tcW w:w="619" w:type="dxa"/>
            <w:vMerge/>
            <w:textDirection w:val="tbRl"/>
            <w:vAlign w:val="center"/>
          </w:tcPr>
          <w:p w14:paraId="3465F527" w14:textId="77777777" w:rsidR="005F55AE" w:rsidRPr="00A03632" w:rsidRDefault="005F55AE" w:rsidP="002A3B62">
            <w:pPr>
              <w:ind w:left="113" w:right="113"/>
              <w:jc w:val="center"/>
              <w:rPr>
                <w:b/>
                <w:color w:val="000000" w:themeColor="text1"/>
                <w:lang w:eastAsia="zh-CN"/>
              </w:rPr>
            </w:pPr>
          </w:p>
        </w:tc>
        <w:tc>
          <w:tcPr>
            <w:tcW w:w="4490" w:type="dxa"/>
          </w:tcPr>
          <w:p w14:paraId="467AAA2A" w14:textId="3FFC5E50" w:rsidR="005F55AE" w:rsidRDefault="005F55AE" w:rsidP="00D66EA2">
            <w:pPr>
              <w:rPr>
                <w:color w:val="000000" w:themeColor="text1"/>
                <w:lang w:eastAsia="zh-CN"/>
              </w:rPr>
            </w:pPr>
            <w:r w:rsidRPr="002A3B62">
              <w:rPr>
                <w:noProof/>
                <w:color w:val="000000" w:themeColor="text1"/>
                <w:lang w:eastAsia="zh-CN"/>
              </w:rPr>
              <w:drawing>
                <wp:inline distT="0" distB="0" distL="0" distR="0" wp14:anchorId="40F451F9" wp14:editId="2DF24808">
                  <wp:extent cx="2850881" cy="213935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69429" cy="2153270"/>
                          </a:xfrm>
                          <a:prstGeom prst="rect">
                            <a:avLst/>
                          </a:prstGeom>
                          <a:noFill/>
                          <a:ln>
                            <a:noFill/>
                          </a:ln>
                        </pic:spPr>
                      </pic:pic>
                    </a:graphicData>
                  </a:graphic>
                </wp:inline>
              </w:drawing>
            </w:r>
          </w:p>
        </w:tc>
        <w:tc>
          <w:tcPr>
            <w:tcW w:w="4522" w:type="dxa"/>
          </w:tcPr>
          <w:p w14:paraId="6ADEF4A8" w14:textId="4C8A8BDB" w:rsidR="005F55AE" w:rsidRDefault="005F55AE" w:rsidP="00D66EA2">
            <w:pPr>
              <w:rPr>
                <w:color w:val="000000" w:themeColor="text1"/>
                <w:lang w:eastAsia="zh-CN"/>
              </w:rPr>
            </w:pPr>
            <w:r w:rsidRPr="007C585C">
              <w:rPr>
                <w:noProof/>
                <w:color w:val="000000" w:themeColor="text1"/>
                <w:lang w:eastAsia="zh-CN"/>
              </w:rPr>
              <w:drawing>
                <wp:inline distT="0" distB="0" distL="0" distR="0" wp14:anchorId="61BBF47A" wp14:editId="6B1D41EC">
                  <wp:extent cx="2812283" cy="2110387"/>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18620" cy="2115142"/>
                          </a:xfrm>
                          <a:prstGeom prst="rect">
                            <a:avLst/>
                          </a:prstGeom>
                          <a:noFill/>
                          <a:ln>
                            <a:noFill/>
                          </a:ln>
                        </pic:spPr>
                      </pic:pic>
                    </a:graphicData>
                  </a:graphic>
                </wp:inline>
              </w:drawing>
            </w:r>
          </w:p>
        </w:tc>
      </w:tr>
      <w:tr w:rsidR="007C585C" w14:paraId="1F05E16C" w14:textId="77777777" w:rsidTr="005F55AE">
        <w:trPr>
          <w:cantSplit/>
          <w:trHeight w:val="1134"/>
        </w:trPr>
        <w:tc>
          <w:tcPr>
            <w:tcW w:w="619" w:type="dxa"/>
            <w:textDirection w:val="tbRl"/>
            <w:vAlign w:val="center"/>
          </w:tcPr>
          <w:p w14:paraId="2FE552CA" w14:textId="436CE080" w:rsidR="00D6773A" w:rsidRPr="00A03632" w:rsidRDefault="002A3B62" w:rsidP="002A3B62">
            <w:pPr>
              <w:ind w:left="113" w:right="113"/>
              <w:jc w:val="center"/>
              <w:rPr>
                <w:b/>
                <w:color w:val="000000" w:themeColor="text1"/>
                <w:lang w:eastAsia="zh-CN"/>
              </w:rPr>
            </w:pPr>
            <w:r w:rsidRPr="00A03632">
              <w:rPr>
                <w:b/>
                <w:color w:val="000000" w:themeColor="text1"/>
                <w:lang w:eastAsia="zh-CN"/>
              </w:rPr>
              <w:t>6-tone</w:t>
            </w:r>
          </w:p>
        </w:tc>
        <w:tc>
          <w:tcPr>
            <w:tcW w:w="4490" w:type="dxa"/>
          </w:tcPr>
          <w:p w14:paraId="0BA5DBAA" w14:textId="211A6EF1" w:rsidR="00D6773A" w:rsidRDefault="002A3B62" w:rsidP="00D66EA2">
            <w:pPr>
              <w:rPr>
                <w:color w:val="000000" w:themeColor="text1"/>
                <w:lang w:eastAsia="zh-CN"/>
              </w:rPr>
            </w:pPr>
            <w:r w:rsidRPr="002A3B62">
              <w:rPr>
                <w:noProof/>
                <w:color w:val="000000" w:themeColor="text1"/>
                <w:lang w:eastAsia="zh-CN"/>
              </w:rPr>
              <w:drawing>
                <wp:inline distT="0" distB="0" distL="0" distR="0" wp14:anchorId="4A50B4C0" wp14:editId="7F5396F7">
                  <wp:extent cx="2839085" cy="213049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2931" cy="2140889"/>
                          </a:xfrm>
                          <a:prstGeom prst="rect">
                            <a:avLst/>
                          </a:prstGeom>
                          <a:noFill/>
                          <a:ln>
                            <a:noFill/>
                          </a:ln>
                        </pic:spPr>
                      </pic:pic>
                    </a:graphicData>
                  </a:graphic>
                </wp:inline>
              </w:drawing>
            </w:r>
          </w:p>
        </w:tc>
        <w:tc>
          <w:tcPr>
            <w:tcW w:w="4522" w:type="dxa"/>
          </w:tcPr>
          <w:p w14:paraId="74E8B8C9" w14:textId="5B59AD5D" w:rsidR="00D6773A" w:rsidRDefault="007C585C" w:rsidP="00D66EA2">
            <w:pPr>
              <w:rPr>
                <w:color w:val="000000" w:themeColor="text1"/>
                <w:lang w:eastAsia="zh-CN"/>
              </w:rPr>
            </w:pPr>
            <w:r w:rsidRPr="007C585C">
              <w:rPr>
                <w:noProof/>
                <w:color w:val="000000" w:themeColor="text1"/>
                <w:lang w:eastAsia="zh-CN"/>
              </w:rPr>
              <w:drawing>
                <wp:inline distT="0" distB="0" distL="0" distR="0" wp14:anchorId="45AD78E2" wp14:editId="3798B590">
                  <wp:extent cx="2872093" cy="215526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91192" cy="2169600"/>
                          </a:xfrm>
                          <a:prstGeom prst="rect">
                            <a:avLst/>
                          </a:prstGeom>
                          <a:noFill/>
                          <a:ln>
                            <a:noFill/>
                          </a:ln>
                        </pic:spPr>
                      </pic:pic>
                    </a:graphicData>
                  </a:graphic>
                </wp:inline>
              </w:drawing>
            </w:r>
          </w:p>
        </w:tc>
      </w:tr>
    </w:tbl>
    <w:p w14:paraId="135ED180" w14:textId="77777777" w:rsidR="00D6773A" w:rsidRDefault="00D6773A" w:rsidP="00D66EA2">
      <w:pPr>
        <w:rPr>
          <w:color w:val="000000" w:themeColor="text1"/>
          <w:lang w:eastAsia="zh-CN"/>
        </w:rPr>
      </w:pPr>
    </w:p>
    <w:p w14:paraId="43236532" w14:textId="05A2B3CB" w:rsidR="00F20542" w:rsidRDefault="005928C8" w:rsidP="00F20542">
      <w:pPr>
        <w:rPr>
          <w:color w:val="000000" w:themeColor="text1"/>
          <w:lang w:eastAsia="zh-CN"/>
        </w:rPr>
      </w:pPr>
      <w:r>
        <w:rPr>
          <w:color w:val="000000" w:themeColor="text1"/>
          <w:lang w:eastAsia="zh-CN"/>
        </w:rPr>
        <w:t xml:space="preserve">It can be seen that </w:t>
      </w:r>
      <w:r w:rsidR="00F20542">
        <w:rPr>
          <w:color w:val="000000" w:themeColor="text1"/>
          <w:lang w:eastAsia="zh-CN"/>
        </w:rPr>
        <w:t>for IBE Mask #1 16QAM only differs from QPSK when the starting frequency offset ∆</w:t>
      </w:r>
      <w:r w:rsidR="00F20542" w:rsidRPr="00C17692">
        <w:rPr>
          <w:color w:val="000000" w:themeColor="text1"/>
          <w:vertAlign w:val="subscript"/>
          <w:lang w:eastAsia="zh-CN"/>
        </w:rPr>
        <w:t>tone</w:t>
      </w:r>
      <w:r w:rsidR="00C17692">
        <w:rPr>
          <w:color w:val="000000" w:themeColor="text1"/>
          <w:lang w:eastAsia="zh-CN"/>
        </w:rPr>
        <w:t xml:space="preserve"> is small and there’s no difference for the 6-tone case. This is because the target SNR in the 1</w:t>
      </w:r>
      <w:r w:rsidR="00C17692" w:rsidRPr="00C17692">
        <w:rPr>
          <w:color w:val="000000" w:themeColor="text1"/>
          <w:vertAlign w:val="superscript"/>
          <w:lang w:eastAsia="zh-CN"/>
        </w:rPr>
        <w:t>st</w:t>
      </w:r>
      <w:r w:rsidR="00C17692">
        <w:rPr>
          <w:color w:val="000000" w:themeColor="text1"/>
          <w:lang w:eastAsia="zh-CN"/>
        </w:rPr>
        <w:t xml:space="preserve"> term becomes the limiting factor. Comparing IBE Mask #2 with IBE Mask #1, the noise floor is lowered by </w:t>
      </w:r>
      <w:r w:rsidR="00B650F7">
        <w:rPr>
          <w:color w:val="000000" w:themeColor="text1"/>
          <w:lang w:eastAsia="zh-CN"/>
        </w:rPr>
        <w:t>around 2</w:t>
      </w:r>
      <w:r w:rsidR="00C17692">
        <w:rPr>
          <w:color w:val="000000" w:themeColor="text1"/>
          <w:lang w:eastAsia="zh-CN"/>
        </w:rPr>
        <w:t xml:space="preserve"> dB as expected.</w:t>
      </w:r>
    </w:p>
    <w:p w14:paraId="0C23C1AB" w14:textId="17AB8A32" w:rsidR="00056C94" w:rsidRDefault="00056C94" w:rsidP="00F20542">
      <w:pPr>
        <w:rPr>
          <w:b/>
          <w:color w:val="000000" w:themeColor="text1"/>
          <w:lang w:eastAsia="zh-CN"/>
        </w:rPr>
      </w:pPr>
      <w:r>
        <w:rPr>
          <w:color w:val="000000" w:themeColor="text1"/>
          <w:lang w:eastAsia="zh-CN"/>
        </w:rPr>
        <w:t>Therefore we believe IBE Mask #2 is a more suitable candidate in support of 16QAM in the uplink.</w:t>
      </w:r>
    </w:p>
    <w:p w14:paraId="3FEDF958" w14:textId="5BCD6A99" w:rsidR="0078412F" w:rsidRPr="00056C94" w:rsidRDefault="00056C94" w:rsidP="00D66EA2">
      <w:pPr>
        <w:rPr>
          <w:b/>
          <w:color w:val="000000" w:themeColor="text1"/>
          <w:lang w:eastAsia="zh-CN"/>
        </w:rPr>
      </w:pPr>
      <w:r w:rsidRPr="00056C94">
        <w:rPr>
          <w:b/>
          <w:color w:val="000000" w:themeColor="text1"/>
          <w:lang w:eastAsia="zh-CN"/>
        </w:rPr>
        <w:t>Proposal 1: Update the max SNR in the 1</w:t>
      </w:r>
      <w:r w:rsidRPr="00056C94">
        <w:rPr>
          <w:b/>
          <w:color w:val="000000" w:themeColor="text1"/>
          <w:vertAlign w:val="superscript"/>
          <w:lang w:eastAsia="zh-CN"/>
        </w:rPr>
        <w:t>st</w:t>
      </w:r>
      <w:r w:rsidRPr="00056C94">
        <w:rPr>
          <w:b/>
          <w:color w:val="000000" w:themeColor="text1"/>
          <w:lang w:eastAsia="zh-CN"/>
        </w:rPr>
        <w:t xml:space="preserve"> term and include the EVM to the 2</w:t>
      </w:r>
      <w:r w:rsidRPr="00056C94">
        <w:rPr>
          <w:b/>
          <w:color w:val="000000" w:themeColor="text1"/>
          <w:vertAlign w:val="superscript"/>
          <w:lang w:eastAsia="zh-CN"/>
        </w:rPr>
        <w:t>nd</w:t>
      </w:r>
      <w:r w:rsidRPr="00056C94">
        <w:rPr>
          <w:b/>
          <w:color w:val="000000" w:themeColor="text1"/>
          <w:lang w:eastAsia="zh-CN"/>
        </w:rPr>
        <w:t xml:space="preserve"> term of the general </w:t>
      </w:r>
      <w:r w:rsidR="005D2F40">
        <w:rPr>
          <w:b/>
          <w:color w:val="000000" w:themeColor="text1"/>
          <w:lang w:eastAsia="zh-CN"/>
        </w:rPr>
        <w:t xml:space="preserve">part of the in-band emission </w:t>
      </w:r>
      <w:r w:rsidRPr="00056C94">
        <w:rPr>
          <w:b/>
          <w:color w:val="000000" w:themeColor="text1"/>
          <w:lang w:eastAsia="zh-CN"/>
        </w:rPr>
        <w:t>requirement.</w:t>
      </w:r>
    </w:p>
    <w:p w14:paraId="3EBD4FB8" w14:textId="77777777" w:rsidR="0078412F" w:rsidRDefault="0078412F" w:rsidP="00D66EA2">
      <w:pPr>
        <w:rPr>
          <w:color w:val="000000" w:themeColor="text1"/>
          <w:lang w:eastAsia="zh-CN"/>
        </w:rPr>
      </w:pPr>
    </w:p>
    <w:p w14:paraId="790D18FE" w14:textId="571E2711" w:rsidR="001E433F" w:rsidRDefault="005D2F40" w:rsidP="00406E26">
      <w:pPr>
        <w:rPr>
          <w:color w:val="000000" w:themeColor="text1"/>
          <w:lang w:eastAsia="zh-CN"/>
        </w:rPr>
      </w:pPr>
      <w:r>
        <w:rPr>
          <w:color w:val="000000" w:themeColor="text1"/>
          <w:lang w:eastAsia="zh-CN"/>
        </w:rPr>
        <w:lastRenderedPageBreak/>
        <w:t xml:space="preserve">On the other hand, adopting IBE Mask #2 would tighten the IBE requirements for QPSK, which might </w:t>
      </w:r>
      <w:r w:rsidR="00406E26">
        <w:rPr>
          <w:color w:val="000000" w:themeColor="text1"/>
          <w:lang w:eastAsia="zh-CN"/>
        </w:rPr>
        <w:t xml:space="preserve">be challenging for the existing UE implementations. </w:t>
      </w:r>
      <w:r w:rsidR="0056562E">
        <w:rPr>
          <w:color w:val="000000" w:themeColor="text1"/>
          <w:lang w:eastAsia="zh-CN"/>
        </w:rPr>
        <w:t>Hypothetically in the same network there would be old UEs complying with early specs and new UEs complying with the relatively tightened specs, which would not be a desired situation. During the discussions in RAN4#99-e [3], Nokia proposed to include the EVM into the 1</w:t>
      </w:r>
      <w:r w:rsidR="0056562E" w:rsidRPr="0056562E">
        <w:rPr>
          <w:color w:val="000000" w:themeColor="text1"/>
          <w:vertAlign w:val="superscript"/>
          <w:lang w:eastAsia="zh-CN"/>
        </w:rPr>
        <w:t>st</w:t>
      </w:r>
      <w:r w:rsidR="0056562E">
        <w:rPr>
          <w:color w:val="000000" w:themeColor="text1"/>
          <w:lang w:eastAsia="zh-CN"/>
        </w:rPr>
        <w:t xml:space="preserve"> term as well. More explicitly, the general IBE requirement could be updated as follows.</w:t>
      </w:r>
    </w:p>
    <w:p w14:paraId="4288E393" w14:textId="6237C183" w:rsidR="00194F42" w:rsidRDefault="00194F42" w:rsidP="00194F42">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Updated IBE requirements for NB-</w:t>
      </w:r>
      <w:proofErr w:type="spellStart"/>
      <w:r>
        <w:t>IoT</w:t>
      </w:r>
      <w:proofErr w:type="spellEnd"/>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828"/>
        <w:gridCol w:w="4394"/>
        <w:gridCol w:w="1964"/>
      </w:tblGrid>
      <w:tr w:rsidR="0056562E" w:rsidRPr="001D386E" w14:paraId="3CB22B96" w14:textId="77777777" w:rsidTr="00CA48A7">
        <w:trPr>
          <w:jc w:val="center"/>
        </w:trPr>
        <w:tc>
          <w:tcPr>
            <w:tcW w:w="1414" w:type="dxa"/>
            <w:tcBorders>
              <w:bottom w:val="single" w:sz="4" w:space="0" w:color="auto"/>
              <w:right w:val="single" w:sz="4" w:space="0" w:color="auto"/>
            </w:tcBorders>
            <w:shd w:val="clear" w:color="auto" w:fill="auto"/>
            <w:vAlign w:val="center"/>
          </w:tcPr>
          <w:p w14:paraId="3ACDA09A" w14:textId="77777777" w:rsidR="0056562E" w:rsidRPr="001D386E" w:rsidRDefault="0056562E" w:rsidP="00CA48A7">
            <w:pPr>
              <w:pStyle w:val="TAH"/>
              <w:rPr>
                <w:rFonts w:cs="Arial"/>
                <w:i/>
                <w:iCs/>
                <w:lang w:eastAsia="ja-JP"/>
              </w:rPr>
            </w:pPr>
            <w:r w:rsidRPr="001D386E">
              <w:rPr>
                <w:rFonts w:cs="Arial"/>
                <w:lang w:eastAsia="ja-JP"/>
              </w:rPr>
              <w:t>Parameter description</w:t>
            </w:r>
          </w:p>
        </w:tc>
        <w:tc>
          <w:tcPr>
            <w:tcW w:w="1828" w:type="dxa"/>
            <w:tcBorders>
              <w:left w:val="single" w:sz="4" w:space="0" w:color="auto"/>
              <w:bottom w:val="single" w:sz="4" w:space="0" w:color="auto"/>
              <w:right w:val="single" w:sz="4" w:space="0" w:color="auto"/>
            </w:tcBorders>
            <w:shd w:val="clear" w:color="auto" w:fill="auto"/>
            <w:vAlign w:val="center"/>
          </w:tcPr>
          <w:p w14:paraId="7D96FD39" w14:textId="77777777" w:rsidR="0056562E" w:rsidRPr="001D386E" w:rsidRDefault="0056562E" w:rsidP="00CA48A7">
            <w:pPr>
              <w:pStyle w:val="TAH"/>
              <w:rPr>
                <w:rFonts w:cs="Arial"/>
                <w:lang w:eastAsia="ja-JP"/>
              </w:rPr>
            </w:pPr>
            <w:r w:rsidRPr="001D386E">
              <w:rPr>
                <w:rFonts w:cs="Arial"/>
                <w:lang w:eastAsia="ja-JP"/>
              </w:rPr>
              <w:t>Unit</w:t>
            </w:r>
          </w:p>
        </w:tc>
        <w:tc>
          <w:tcPr>
            <w:tcW w:w="4394" w:type="dxa"/>
            <w:tcBorders>
              <w:left w:val="single" w:sz="4" w:space="0" w:color="auto"/>
              <w:bottom w:val="single" w:sz="4" w:space="0" w:color="auto"/>
              <w:right w:val="single" w:sz="4" w:space="0" w:color="auto"/>
            </w:tcBorders>
            <w:shd w:val="clear" w:color="auto" w:fill="auto"/>
            <w:vAlign w:val="center"/>
          </w:tcPr>
          <w:p w14:paraId="247D6646" w14:textId="77777777" w:rsidR="0056562E" w:rsidRPr="001D386E" w:rsidRDefault="0056562E" w:rsidP="00CA48A7">
            <w:pPr>
              <w:pStyle w:val="TAH"/>
              <w:rPr>
                <w:rFonts w:cs="Arial"/>
                <w:lang w:eastAsia="ja-JP"/>
              </w:rPr>
            </w:pPr>
            <w:r w:rsidRPr="001D386E">
              <w:rPr>
                <w:rFonts w:cs="Arial"/>
                <w:lang w:eastAsia="ja-JP"/>
              </w:rPr>
              <w:t>Limit (NOTE 1)</w:t>
            </w:r>
          </w:p>
        </w:tc>
        <w:tc>
          <w:tcPr>
            <w:tcW w:w="1964" w:type="dxa"/>
            <w:tcBorders>
              <w:left w:val="single" w:sz="4" w:space="0" w:color="auto"/>
              <w:bottom w:val="single" w:sz="4" w:space="0" w:color="auto"/>
              <w:right w:val="single" w:sz="4" w:space="0" w:color="auto"/>
            </w:tcBorders>
            <w:shd w:val="clear" w:color="auto" w:fill="auto"/>
            <w:vAlign w:val="center"/>
          </w:tcPr>
          <w:p w14:paraId="79C95AED" w14:textId="77777777" w:rsidR="0056562E" w:rsidRPr="001D386E" w:rsidRDefault="0056562E" w:rsidP="00CA48A7">
            <w:pPr>
              <w:pStyle w:val="TAH"/>
              <w:rPr>
                <w:rFonts w:cs="Arial"/>
                <w:lang w:eastAsia="ja-JP"/>
              </w:rPr>
            </w:pPr>
            <w:r w:rsidRPr="001D386E">
              <w:rPr>
                <w:rFonts w:cs="Arial"/>
                <w:lang w:eastAsia="ja-JP"/>
              </w:rPr>
              <w:t>Applicable Frequencies</w:t>
            </w:r>
          </w:p>
        </w:tc>
      </w:tr>
      <w:tr w:rsidR="0056562E" w:rsidRPr="001D386E" w14:paraId="645B1CFF" w14:textId="77777777" w:rsidTr="00CA48A7">
        <w:trPr>
          <w:trHeight w:val="710"/>
          <w:jc w:val="center"/>
        </w:trPr>
        <w:tc>
          <w:tcPr>
            <w:tcW w:w="1414" w:type="dxa"/>
            <w:tcBorders>
              <w:top w:val="single" w:sz="4" w:space="0" w:color="auto"/>
              <w:bottom w:val="single" w:sz="4" w:space="0" w:color="auto"/>
              <w:right w:val="single" w:sz="4" w:space="0" w:color="auto"/>
            </w:tcBorders>
            <w:shd w:val="clear" w:color="auto" w:fill="auto"/>
            <w:vAlign w:val="center"/>
          </w:tcPr>
          <w:p w14:paraId="1A3EEC24" w14:textId="77777777" w:rsidR="0056562E" w:rsidRPr="001D386E" w:rsidRDefault="0056562E" w:rsidP="00CA48A7">
            <w:pPr>
              <w:pStyle w:val="TAH"/>
              <w:rPr>
                <w:rFonts w:cs="Arial"/>
                <w:lang w:eastAsia="ja-JP"/>
              </w:rPr>
            </w:pPr>
            <w:r w:rsidRPr="001D386E">
              <w:rPr>
                <w:rFonts w:cs="Arial"/>
                <w:lang w:eastAsia="ja-JP"/>
              </w:rPr>
              <w:t>General</w:t>
            </w:r>
          </w:p>
        </w:tc>
        <w:tc>
          <w:tcPr>
            <w:tcW w:w="1828" w:type="dxa"/>
            <w:tcBorders>
              <w:top w:val="single" w:sz="4" w:space="0" w:color="auto"/>
              <w:left w:val="single" w:sz="4" w:space="0" w:color="auto"/>
              <w:bottom w:val="single" w:sz="4" w:space="0" w:color="auto"/>
              <w:right w:val="single" w:sz="4" w:space="0" w:color="auto"/>
            </w:tcBorders>
            <w:vAlign w:val="center"/>
          </w:tcPr>
          <w:p w14:paraId="7AF5E1F6" w14:textId="77777777" w:rsidR="0056562E" w:rsidRPr="001D386E" w:rsidRDefault="0056562E" w:rsidP="00CA48A7">
            <w:pPr>
              <w:pStyle w:val="TAC"/>
              <w:rPr>
                <w:rFonts w:cs="Arial"/>
                <w:lang w:eastAsia="ja-JP"/>
              </w:rPr>
            </w:pPr>
            <w:r w:rsidRPr="001D386E">
              <w:rPr>
                <w:rFonts w:cs="Arial"/>
                <w:lang w:eastAsia="ja-JP"/>
              </w:rPr>
              <w:t>dB</w:t>
            </w:r>
          </w:p>
        </w:tc>
        <w:tc>
          <w:tcPr>
            <w:tcW w:w="4394" w:type="dxa"/>
            <w:tcBorders>
              <w:top w:val="single" w:sz="4" w:space="0" w:color="auto"/>
              <w:left w:val="single" w:sz="4" w:space="0" w:color="auto"/>
              <w:bottom w:val="single" w:sz="4" w:space="0" w:color="auto"/>
              <w:right w:val="single" w:sz="4" w:space="0" w:color="auto"/>
            </w:tcBorders>
            <w:vAlign w:val="center"/>
          </w:tcPr>
          <w:p w14:paraId="45EAA61C" w14:textId="4CB0FFE6" w:rsidR="0056562E" w:rsidRPr="001D7C04" w:rsidRDefault="0056562E" w:rsidP="00CA48A7">
            <w:pPr>
              <w:pStyle w:val="TAC"/>
              <w:rPr>
                <w:rFonts w:cs="Arial"/>
                <w:lang w:eastAsia="ja-JP"/>
              </w:rPr>
            </w:pPr>
            <m:oMathPara>
              <m:oMathParaPr>
                <m:jc m:val="center"/>
              </m:oMathParaPr>
              <m:oMath>
                <m:r>
                  <w:rPr>
                    <w:rFonts w:ascii="Cambria Math" w:hAnsi="Cambria Math" w:cs="Arial"/>
                    <w:lang w:eastAsia="ja-JP"/>
                  </w:rPr>
                  <m:t>max</m:t>
                </m:r>
                <m:d>
                  <m:dPr>
                    <m:begChr m:val="{"/>
                    <m:endChr m:val=""/>
                    <m:ctrlPr>
                      <w:rPr>
                        <w:rFonts w:ascii="Cambria Math" w:hAnsi="Cambria Math" w:cs="Arial"/>
                        <w:i/>
                        <w:lang w:eastAsia="ja-JP"/>
                      </w:rPr>
                    </m:ctrlPr>
                  </m:dPr>
                  <m:e>
                    <m:r>
                      <w:rPr>
                        <w:rFonts w:ascii="Cambria Math" w:hAnsi="Cambria Math" w:cs="Arial"/>
                        <w:color w:val="FF0000"/>
                        <w:lang w:eastAsia="ja-JP"/>
                      </w:rPr>
                      <m:t>20∙</m:t>
                    </m:r>
                    <m:func>
                      <m:funcPr>
                        <m:ctrlPr>
                          <w:rPr>
                            <w:rFonts w:ascii="Cambria Math" w:hAnsi="Cambria Math" w:cs="Arial"/>
                            <w:i/>
                            <w:color w:val="FF0000"/>
                            <w:lang w:eastAsia="ja-JP"/>
                          </w:rPr>
                        </m:ctrlPr>
                      </m:funcPr>
                      <m:fName>
                        <m:sSub>
                          <m:sSubPr>
                            <m:ctrlPr>
                              <w:rPr>
                                <w:rFonts w:ascii="Cambria Math" w:hAnsi="Cambria Math" w:cs="Arial"/>
                                <w:i/>
                                <w:color w:val="FF0000"/>
                                <w:lang w:eastAsia="ja-JP"/>
                              </w:rPr>
                            </m:ctrlPr>
                          </m:sSubPr>
                          <m:e>
                            <m:r>
                              <m:rPr>
                                <m:sty m:val="p"/>
                              </m:rPr>
                              <w:rPr>
                                <w:rFonts w:ascii="Cambria Math" w:hAnsi="Cambria Math" w:cs="Arial"/>
                                <w:color w:val="FF0000"/>
                                <w:lang w:eastAsia="ja-JP"/>
                              </w:rPr>
                              <m:t>log</m:t>
                            </m:r>
                          </m:e>
                          <m:sub>
                            <m:r>
                              <w:rPr>
                                <w:rFonts w:ascii="Cambria Math" w:hAnsi="Cambria Math" w:cs="Arial"/>
                                <w:color w:val="FF0000"/>
                                <w:lang w:eastAsia="ja-JP"/>
                              </w:rPr>
                              <m:t>10</m:t>
                            </m:r>
                          </m:sub>
                        </m:sSub>
                      </m:fName>
                      <m:e>
                        <m:r>
                          <w:rPr>
                            <w:rFonts w:ascii="Cambria Math" w:hAnsi="Cambria Math" w:cs="Arial"/>
                            <w:color w:val="FF0000"/>
                            <w:lang w:eastAsia="ja-JP"/>
                          </w:rPr>
                          <m:t>EVM</m:t>
                        </m:r>
                      </m:e>
                    </m:func>
                    <m:r>
                      <w:rPr>
                        <w:rFonts w:ascii="Cambria Math" w:hAnsi="Cambria Math" w:cs="Arial"/>
                        <w:lang w:eastAsia="ja-JP"/>
                      </w:rPr>
                      <m:t>-10∙</m:t>
                    </m:r>
                    <m:func>
                      <m:funcPr>
                        <m:ctrlPr>
                          <w:rPr>
                            <w:rFonts w:ascii="Cambria Math" w:hAnsi="Cambria Math" w:cs="Arial"/>
                            <w:i/>
                            <w:lang w:eastAsia="ja-JP"/>
                          </w:rPr>
                        </m:ctrlPr>
                      </m:funcPr>
                      <m:fName>
                        <m:sSub>
                          <m:sSubPr>
                            <m:ctrlPr>
                              <w:rPr>
                                <w:rFonts w:ascii="Cambria Math" w:hAnsi="Cambria Math" w:cs="Arial"/>
                                <w:i/>
                                <w:lang w:eastAsia="ja-JP"/>
                              </w:rPr>
                            </m:ctrlPr>
                          </m:sSubPr>
                          <m:e>
                            <m:r>
                              <m:rPr>
                                <m:sty m:val="p"/>
                              </m:rPr>
                              <w:rPr>
                                <w:rFonts w:ascii="Cambria Math" w:hAnsi="Cambria Math" w:cs="Arial"/>
                                <w:lang w:eastAsia="ja-JP"/>
                              </w:rPr>
                              <m:t>log</m:t>
                            </m:r>
                          </m:e>
                          <m:sub>
                            <m:r>
                              <w:rPr>
                                <w:rFonts w:ascii="Cambria Math" w:hAnsi="Cambria Math" w:cs="Arial"/>
                                <w:lang w:eastAsia="ja-JP"/>
                              </w:rPr>
                              <m:t>10</m:t>
                            </m:r>
                          </m:sub>
                        </m:sSub>
                      </m:fName>
                      <m:e>
                        <m:d>
                          <m:dPr>
                            <m:ctrlPr>
                              <w:rPr>
                                <w:rFonts w:ascii="Cambria Math" w:hAnsi="Cambria Math" w:cs="Arial"/>
                                <w:i/>
                                <w:lang w:eastAsia="ja-JP"/>
                              </w:rPr>
                            </m:ctrlPr>
                          </m:dPr>
                          <m:e>
                            <m:sSub>
                              <m:sSubPr>
                                <m:ctrlPr>
                                  <w:rPr>
                                    <w:rFonts w:ascii="Cambria Math" w:hAnsi="Cambria Math" w:cs="Arial"/>
                                    <w:i/>
                                    <w:lang w:eastAsia="ja-JP"/>
                                  </w:rPr>
                                </m:ctrlPr>
                              </m:sSubPr>
                              <m:e>
                                <m:r>
                                  <w:rPr>
                                    <w:rFonts w:ascii="Cambria Math" w:hAnsi="Cambria Math" w:cs="Arial"/>
                                    <w:lang w:eastAsia="ja-JP"/>
                                  </w:rPr>
                                  <m:t>N</m:t>
                                </m:r>
                              </m:e>
                              <m:sub>
                                <m:r>
                                  <w:rPr>
                                    <w:rFonts w:ascii="Cambria Math" w:hAnsi="Cambria Math" w:cs="Arial"/>
                                    <w:lang w:eastAsia="ja-JP"/>
                                  </w:rPr>
                                  <m:t>tone</m:t>
                                </m:r>
                              </m:sub>
                            </m:sSub>
                            <m:r>
                              <w:rPr>
                                <w:rFonts w:ascii="Cambria Math" w:hAnsi="Cambria Math" w:cs="Arial"/>
                                <w:lang w:eastAsia="ja-JP"/>
                              </w:rPr>
                              <m:t>/</m:t>
                            </m:r>
                            <m:sSub>
                              <m:sSubPr>
                                <m:ctrlPr>
                                  <w:rPr>
                                    <w:rFonts w:ascii="Cambria Math" w:hAnsi="Cambria Math" w:cs="Arial"/>
                                    <w:i/>
                                    <w:lang w:eastAsia="ja-JP"/>
                                  </w:rPr>
                                </m:ctrlPr>
                              </m:sSubPr>
                              <m:e>
                                <m:r>
                                  <w:rPr>
                                    <w:rFonts w:ascii="Cambria Math" w:hAnsi="Cambria Math" w:cs="Arial"/>
                                    <w:lang w:eastAsia="ja-JP"/>
                                  </w:rPr>
                                  <m:t>L</m:t>
                                </m:r>
                              </m:e>
                              <m:sub>
                                <m:r>
                                  <w:rPr>
                                    <w:rFonts w:ascii="Cambria Math" w:hAnsi="Cambria Math" w:cs="Arial"/>
                                    <w:lang w:eastAsia="ja-JP"/>
                                  </w:rPr>
                                  <m:t>Ctone</m:t>
                                </m:r>
                              </m:sub>
                            </m:sSub>
                          </m:e>
                        </m:d>
                        <m:r>
                          <w:rPr>
                            <w:rFonts w:ascii="Cambria Math" w:hAnsi="Cambria Math" w:cs="Arial"/>
                            <w:lang w:eastAsia="ja-JP"/>
                          </w:rPr>
                          <m:t>,</m:t>
                        </m:r>
                      </m:e>
                    </m:func>
                    <m:r>
                      <w:rPr>
                        <w:rFonts w:ascii="Cambria Math" w:hAnsi="Cambria Math" w:cs="Arial"/>
                        <w:lang w:eastAsia="ja-JP"/>
                      </w:rPr>
                      <m:t xml:space="preserve"> </m:t>
                    </m:r>
                  </m:e>
                </m:d>
              </m:oMath>
            </m:oMathPara>
          </w:p>
          <w:p w14:paraId="55F350DE" w14:textId="77777777" w:rsidR="0056562E" w:rsidRPr="001D7C04" w:rsidRDefault="0056562E" w:rsidP="00CA48A7">
            <w:pPr>
              <w:pStyle w:val="TAC"/>
              <w:rPr>
                <w:rFonts w:cs="Arial"/>
                <w:lang w:eastAsia="ja-JP"/>
              </w:rPr>
            </w:pPr>
            <m:oMathPara>
              <m:oMathParaPr>
                <m:jc m:val="center"/>
              </m:oMathParaPr>
              <m:oMath>
                <m:r>
                  <w:rPr>
                    <w:rFonts w:ascii="Cambria Math" w:hAnsi="Cambria Math" w:cs="Arial"/>
                    <w:color w:val="FF0000"/>
                    <w:lang w:eastAsia="ja-JP"/>
                  </w:rPr>
                  <m:t>20∙</m:t>
                </m:r>
                <m:func>
                  <m:funcPr>
                    <m:ctrlPr>
                      <w:rPr>
                        <w:rFonts w:ascii="Cambria Math" w:hAnsi="Cambria Math" w:cs="Arial"/>
                        <w:i/>
                        <w:color w:val="FF0000"/>
                        <w:lang w:eastAsia="ja-JP"/>
                      </w:rPr>
                    </m:ctrlPr>
                  </m:funcPr>
                  <m:fName>
                    <m:sSub>
                      <m:sSubPr>
                        <m:ctrlPr>
                          <w:rPr>
                            <w:rFonts w:ascii="Cambria Math" w:hAnsi="Cambria Math" w:cs="Arial"/>
                            <w:i/>
                            <w:color w:val="FF0000"/>
                            <w:lang w:eastAsia="ja-JP"/>
                          </w:rPr>
                        </m:ctrlPr>
                      </m:sSubPr>
                      <m:e>
                        <m:r>
                          <m:rPr>
                            <m:sty m:val="p"/>
                          </m:rPr>
                          <w:rPr>
                            <w:rFonts w:ascii="Cambria Math" w:hAnsi="Cambria Math" w:cs="Arial"/>
                            <w:color w:val="FF0000"/>
                            <w:lang w:eastAsia="ja-JP"/>
                          </w:rPr>
                          <m:t>log</m:t>
                        </m:r>
                      </m:e>
                      <m:sub>
                        <m:r>
                          <w:rPr>
                            <w:rFonts w:ascii="Cambria Math" w:hAnsi="Cambria Math" w:cs="Arial"/>
                            <w:color w:val="FF0000"/>
                            <w:lang w:eastAsia="ja-JP"/>
                          </w:rPr>
                          <m:t>10</m:t>
                        </m:r>
                      </m:sub>
                    </m:sSub>
                  </m:fName>
                  <m:e>
                    <m:r>
                      <w:rPr>
                        <w:rFonts w:ascii="Cambria Math" w:hAnsi="Cambria Math" w:cs="Arial"/>
                        <w:color w:val="FF0000"/>
                        <w:lang w:eastAsia="ja-JP"/>
                      </w:rPr>
                      <m:t>EVM</m:t>
                    </m:r>
                  </m:e>
                </m:func>
                <m:r>
                  <w:rPr>
                    <w:rFonts w:ascii="Cambria Math" w:hAnsi="Cambria Math" w:cs="Arial"/>
                    <w:color w:val="FF0000"/>
                    <w:lang w:eastAsia="ja-JP"/>
                  </w:rPr>
                  <m:t>-3</m:t>
                </m:r>
                <m:r>
                  <w:rPr>
                    <w:rFonts w:ascii="Cambria Math" w:hAnsi="Cambria Math" w:cs="Arial"/>
                    <w:lang w:eastAsia="ja-JP"/>
                  </w:rPr>
                  <m:t>-5∙</m:t>
                </m:r>
                <m:d>
                  <m:dPr>
                    <m:ctrlPr>
                      <w:rPr>
                        <w:rFonts w:ascii="Cambria Math" w:hAnsi="Cambria Math" w:cs="Arial"/>
                        <w:i/>
                        <w:lang w:eastAsia="ja-JP"/>
                      </w:rPr>
                    </m:ctrlPr>
                  </m:dPr>
                  <m:e>
                    <m:d>
                      <m:dPr>
                        <m:begChr m:val="|"/>
                        <m:endChr m:val="|"/>
                        <m:ctrlPr>
                          <w:rPr>
                            <w:rFonts w:ascii="Cambria Math" w:hAnsi="Cambria Math" w:cs="Arial"/>
                            <w:i/>
                            <w:lang w:eastAsia="ja-JP"/>
                          </w:rPr>
                        </m:ctrlPr>
                      </m:dPr>
                      <m:e>
                        <m:sSub>
                          <m:sSubPr>
                            <m:ctrlPr>
                              <w:rPr>
                                <w:rFonts w:ascii="Cambria Math" w:hAnsi="Cambria Math" w:cs="Arial"/>
                                <w:i/>
                                <w:lang w:eastAsia="ja-JP"/>
                              </w:rPr>
                            </m:ctrlPr>
                          </m:sSubPr>
                          <m:e>
                            <m:r>
                              <w:rPr>
                                <w:rFonts w:ascii="Cambria Math" w:hAnsi="Cambria Math" w:cs="Arial"/>
                                <w:lang w:eastAsia="ja-JP"/>
                              </w:rPr>
                              <m:t>∆</m:t>
                            </m:r>
                          </m:e>
                          <m:sub>
                            <m:r>
                              <w:rPr>
                                <w:rFonts w:ascii="Cambria Math" w:hAnsi="Cambria Math" w:cs="Arial"/>
                                <w:lang w:eastAsia="ja-JP"/>
                              </w:rPr>
                              <m:t>tone</m:t>
                            </m:r>
                          </m:sub>
                        </m:sSub>
                      </m:e>
                    </m:d>
                    <m:r>
                      <w:rPr>
                        <w:rFonts w:ascii="Cambria Math" w:hAnsi="Cambria Math" w:cs="Arial"/>
                        <w:lang w:eastAsia="ja-JP"/>
                      </w:rPr>
                      <m:t>-1</m:t>
                    </m:r>
                  </m:e>
                </m:d>
                <m:r>
                  <w:rPr>
                    <w:rFonts w:ascii="Cambria Math" w:hAnsi="Cambria Math" w:cs="Arial"/>
                    <w:lang w:eastAsia="ja-JP"/>
                  </w:rPr>
                  <m:t>/</m:t>
                </m:r>
                <m:sSub>
                  <m:sSubPr>
                    <m:ctrlPr>
                      <w:rPr>
                        <w:rFonts w:ascii="Cambria Math" w:hAnsi="Cambria Math" w:cs="Arial"/>
                        <w:i/>
                        <w:lang w:eastAsia="ja-JP"/>
                      </w:rPr>
                    </m:ctrlPr>
                  </m:sSubPr>
                  <m:e>
                    <m:r>
                      <w:rPr>
                        <w:rFonts w:ascii="Cambria Math" w:hAnsi="Cambria Math" w:cs="Arial"/>
                        <w:lang w:eastAsia="ja-JP"/>
                      </w:rPr>
                      <m:t>L</m:t>
                    </m:r>
                  </m:e>
                  <m:sub>
                    <m:r>
                      <w:rPr>
                        <w:rFonts w:ascii="Cambria Math" w:hAnsi="Cambria Math" w:cs="Arial"/>
                        <w:lang w:eastAsia="ja-JP"/>
                      </w:rPr>
                      <m:t>Ctone</m:t>
                    </m:r>
                  </m:sub>
                </m:sSub>
                <m:r>
                  <w:rPr>
                    <w:rFonts w:ascii="Cambria Math" w:hAnsi="Cambria Math" w:cs="Arial"/>
                    <w:lang w:eastAsia="ja-JP"/>
                  </w:rPr>
                  <m:t>,</m:t>
                </m:r>
              </m:oMath>
            </m:oMathPara>
          </w:p>
          <w:p w14:paraId="72724689" w14:textId="77777777" w:rsidR="0056562E" w:rsidRPr="001D7C04" w:rsidRDefault="0056562E" w:rsidP="00CA48A7">
            <w:pPr>
              <w:pStyle w:val="TAC"/>
              <w:rPr>
                <w:rFonts w:cs="Arial"/>
                <w:lang w:eastAsia="ja-JP"/>
              </w:rPr>
            </w:pPr>
            <m:oMathPara>
              <m:oMathParaPr>
                <m:jc m:val="center"/>
              </m:oMathParaPr>
              <m:oMath>
                <m:r>
                  <w:rPr>
                    <w:rFonts w:ascii="Cambria Math" w:hAnsi="Cambria Math" w:cs="Arial"/>
                    <w:lang w:eastAsia="ja-JP"/>
                  </w:rPr>
                  <m:t>-57dBm/(3.75 kHz or 15 kHz)-</m:t>
                </m:r>
                <m:d>
                  <m:dPr>
                    <m:begChr m:val=""/>
                    <m:endChr m:val="}"/>
                    <m:ctrlPr>
                      <w:rPr>
                        <w:rFonts w:ascii="Cambria Math" w:hAnsi="Cambria Math" w:cs="Arial"/>
                        <w:i/>
                        <w:lang w:eastAsia="ja-JP"/>
                      </w:rPr>
                    </m:ctrlPr>
                  </m:dPr>
                  <m:e>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tone</m:t>
                        </m:r>
                      </m:sub>
                    </m:sSub>
                  </m:e>
                </m:d>
              </m:oMath>
            </m:oMathPara>
          </w:p>
        </w:tc>
        <w:tc>
          <w:tcPr>
            <w:tcW w:w="1964" w:type="dxa"/>
            <w:tcBorders>
              <w:top w:val="single" w:sz="4" w:space="0" w:color="auto"/>
              <w:left w:val="single" w:sz="4" w:space="0" w:color="auto"/>
              <w:bottom w:val="single" w:sz="4" w:space="0" w:color="auto"/>
              <w:right w:val="single" w:sz="4" w:space="0" w:color="auto"/>
            </w:tcBorders>
            <w:vAlign w:val="center"/>
          </w:tcPr>
          <w:p w14:paraId="2508F992" w14:textId="77777777" w:rsidR="0056562E" w:rsidRPr="001D386E" w:rsidRDefault="0056562E" w:rsidP="00CA48A7">
            <w:pPr>
              <w:pStyle w:val="TAC"/>
              <w:rPr>
                <w:rFonts w:cs="Arial"/>
                <w:lang w:eastAsia="ja-JP"/>
              </w:rPr>
            </w:pPr>
            <w:r w:rsidRPr="001D386E">
              <w:rPr>
                <w:rFonts w:cs="Arial"/>
                <w:lang w:eastAsia="ja-JP"/>
              </w:rPr>
              <w:t>Any non-allocated (NOTE 2)</w:t>
            </w:r>
          </w:p>
        </w:tc>
      </w:tr>
    </w:tbl>
    <w:p w14:paraId="45AE9F32" w14:textId="77777777" w:rsidR="0056562E" w:rsidRDefault="0056562E" w:rsidP="00406E26">
      <w:pPr>
        <w:rPr>
          <w:color w:val="000000" w:themeColor="text1"/>
          <w:lang w:val="en-US" w:eastAsia="zh-CN"/>
        </w:rPr>
      </w:pPr>
    </w:p>
    <w:p w14:paraId="1007B2E2" w14:textId="6A223BCE" w:rsidR="00194F42" w:rsidRPr="009F6981" w:rsidRDefault="00194F42" w:rsidP="00406E26">
      <w:pPr>
        <w:rPr>
          <w:color w:val="000000" w:themeColor="text1"/>
          <w:lang w:val="en-US" w:eastAsia="zh-CN"/>
        </w:rPr>
      </w:pPr>
      <w:r>
        <w:rPr>
          <w:color w:val="000000" w:themeColor="text1"/>
          <w:lang w:val="en-US" w:eastAsia="zh-CN"/>
        </w:rPr>
        <w:t xml:space="preserve">Let the EVM limit for QPSK and 16QAM be 17.5% and 8%, respectively. Then the value of </w:t>
      </w:r>
      <m:oMath>
        <m:r>
          <w:rPr>
            <w:rFonts w:ascii="Cambria Math" w:hAnsi="Cambria Math" w:cs="Arial"/>
            <w:lang w:eastAsia="ja-JP"/>
          </w:rPr>
          <m:t>20∙</m:t>
        </m:r>
        <m:func>
          <m:funcPr>
            <m:ctrlPr>
              <w:rPr>
                <w:rFonts w:ascii="Cambria Math" w:hAnsi="Cambria Math" w:cs="Arial"/>
                <w:i/>
                <w:lang w:eastAsia="ja-JP"/>
              </w:rPr>
            </m:ctrlPr>
          </m:funcPr>
          <m:fName>
            <m:sSub>
              <m:sSubPr>
                <m:ctrlPr>
                  <w:rPr>
                    <w:rFonts w:ascii="Cambria Math" w:hAnsi="Cambria Math" w:cs="Arial"/>
                    <w:i/>
                    <w:lang w:eastAsia="ja-JP"/>
                  </w:rPr>
                </m:ctrlPr>
              </m:sSubPr>
              <m:e>
                <m:r>
                  <m:rPr>
                    <m:sty m:val="p"/>
                  </m:rPr>
                  <w:rPr>
                    <w:rFonts w:ascii="Cambria Math" w:hAnsi="Cambria Math" w:cs="Arial"/>
                    <w:lang w:eastAsia="ja-JP"/>
                  </w:rPr>
                  <m:t>log</m:t>
                </m:r>
              </m:e>
              <m:sub>
                <m:r>
                  <w:rPr>
                    <w:rFonts w:ascii="Cambria Math" w:hAnsi="Cambria Math" w:cs="Arial"/>
                    <w:lang w:eastAsia="ja-JP"/>
                  </w:rPr>
                  <m:t>10</m:t>
                </m:r>
              </m:sub>
            </m:sSub>
          </m:fName>
          <m:e>
            <m:r>
              <w:rPr>
                <w:rFonts w:ascii="Cambria Math" w:hAnsi="Cambria Math" w:cs="Arial"/>
                <w:lang w:eastAsia="ja-JP"/>
              </w:rPr>
              <m:t>EVM</m:t>
            </m:r>
          </m:e>
        </m:func>
      </m:oMath>
      <w:r>
        <w:rPr>
          <w:lang w:eastAsia="ja-JP"/>
        </w:rPr>
        <w:t xml:space="preserve"> is -15 and -18, correspondingly. </w:t>
      </w:r>
      <w:r>
        <w:rPr>
          <w:color w:val="000000" w:themeColor="text1"/>
          <w:lang w:val="en-US" w:eastAsia="zh-CN"/>
        </w:rPr>
        <w:t>In this way, the IBE requirements for QPSK would remain the same, but the requirements for 16QAM are tightened. From the BS receiver point of view, the IBE mask is the same as long as the same modulation is scheduled on all tones.</w:t>
      </w:r>
    </w:p>
    <w:p w14:paraId="0684D0CC" w14:textId="5882B7B2" w:rsidR="00665F16" w:rsidRDefault="005F0DFA" w:rsidP="00B534E2">
      <w:pPr>
        <w:rPr>
          <w:b/>
          <w:color w:val="000000" w:themeColor="text1"/>
          <w:lang w:eastAsia="zh-CN"/>
        </w:rPr>
      </w:pPr>
      <w:r>
        <w:rPr>
          <w:b/>
          <w:color w:val="000000" w:themeColor="text1"/>
          <w:lang w:eastAsia="zh-CN"/>
        </w:rPr>
        <w:t xml:space="preserve">Proposal 2: </w:t>
      </w:r>
      <w:r w:rsidR="002F5D8F">
        <w:rPr>
          <w:b/>
          <w:color w:val="000000" w:themeColor="text1"/>
          <w:lang w:eastAsia="zh-CN"/>
        </w:rPr>
        <w:t>As a trade-off, c</w:t>
      </w:r>
      <w:r>
        <w:rPr>
          <w:b/>
          <w:color w:val="000000" w:themeColor="text1"/>
          <w:lang w:eastAsia="zh-CN"/>
        </w:rPr>
        <w:t xml:space="preserve">onsider the </w:t>
      </w:r>
      <w:r w:rsidR="002F5D8F">
        <w:rPr>
          <w:b/>
          <w:color w:val="000000" w:themeColor="text1"/>
          <w:lang w:eastAsia="zh-CN"/>
        </w:rPr>
        <w:t>IBE mask defined in Table 3 as the new IBE requirements</w:t>
      </w:r>
      <w:r w:rsidR="00A408DB">
        <w:rPr>
          <w:b/>
          <w:color w:val="000000" w:themeColor="text1"/>
          <w:lang w:eastAsia="zh-CN"/>
        </w:rPr>
        <w:t xml:space="preserve"> for both QPSK and 16QAM</w:t>
      </w:r>
      <w:r>
        <w:rPr>
          <w:b/>
          <w:color w:val="000000" w:themeColor="text1"/>
          <w:lang w:eastAsia="zh-CN"/>
        </w:rPr>
        <w:t>.</w:t>
      </w: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14:paraId="41ABB045" w14:textId="4185E5DF" w:rsidR="005A0431" w:rsidRPr="005A0431" w:rsidRDefault="00A03632" w:rsidP="005A0431">
      <w:pPr>
        <w:rPr>
          <w:color w:val="000000" w:themeColor="text1"/>
          <w:lang w:eastAsia="zh-CN"/>
        </w:rPr>
      </w:pPr>
      <w:r>
        <w:rPr>
          <w:color w:val="000000" w:themeColor="text1"/>
          <w:lang w:eastAsia="zh-CN"/>
        </w:rPr>
        <w:t xml:space="preserve">The impact on the IBE requirements in support of 16QAM is analysed. Two update schemes are compared and a trade-off is proposed. </w:t>
      </w:r>
      <w:r w:rsidR="000A33B0">
        <w:rPr>
          <w:color w:val="000000" w:themeColor="text1"/>
          <w:lang w:eastAsia="zh-CN"/>
        </w:rPr>
        <w:t>More explicitly,</w:t>
      </w:r>
      <w:r w:rsidR="003179DE">
        <w:rPr>
          <w:color w:val="000000" w:themeColor="text1"/>
          <w:lang w:eastAsia="zh-CN"/>
        </w:rPr>
        <w:t xml:space="preserve"> the following proposals</w:t>
      </w:r>
      <w:r w:rsidR="00135192">
        <w:rPr>
          <w:color w:val="000000" w:themeColor="text1"/>
          <w:lang w:eastAsia="zh-CN"/>
        </w:rPr>
        <w:t xml:space="preserve"> are presented.</w:t>
      </w:r>
    </w:p>
    <w:p w14:paraId="72961045" w14:textId="08B1F94E" w:rsidR="00307E3B" w:rsidRDefault="00A03632" w:rsidP="00307E3B">
      <w:pPr>
        <w:rPr>
          <w:b/>
          <w:color w:val="000000" w:themeColor="text1"/>
          <w:lang w:eastAsia="zh-CN"/>
        </w:rPr>
      </w:pPr>
      <w:r w:rsidRPr="00056C94">
        <w:rPr>
          <w:b/>
          <w:color w:val="000000" w:themeColor="text1"/>
          <w:lang w:eastAsia="zh-CN"/>
        </w:rPr>
        <w:t>Proposal 1: Update the max SNR in the 1</w:t>
      </w:r>
      <w:r w:rsidRPr="00056C94">
        <w:rPr>
          <w:b/>
          <w:color w:val="000000" w:themeColor="text1"/>
          <w:vertAlign w:val="superscript"/>
          <w:lang w:eastAsia="zh-CN"/>
        </w:rPr>
        <w:t>st</w:t>
      </w:r>
      <w:r w:rsidRPr="00056C94">
        <w:rPr>
          <w:b/>
          <w:color w:val="000000" w:themeColor="text1"/>
          <w:lang w:eastAsia="zh-CN"/>
        </w:rPr>
        <w:t xml:space="preserve"> term and include the EVM to the 2</w:t>
      </w:r>
      <w:r w:rsidRPr="00056C94">
        <w:rPr>
          <w:b/>
          <w:color w:val="000000" w:themeColor="text1"/>
          <w:vertAlign w:val="superscript"/>
          <w:lang w:eastAsia="zh-CN"/>
        </w:rPr>
        <w:t>nd</w:t>
      </w:r>
      <w:r w:rsidRPr="00056C94">
        <w:rPr>
          <w:b/>
          <w:color w:val="000000" w:themeColor="text1"/>
          <w:lang w:eastAsia="zh-CN"/>
        </w:rPr>
        <w:t xml:space="preserve"> term of the general </w:t>
      </w:r>
      <w:r>
        <w:rPr>
          <w:b/>
          <w:color w:val="000000" w:themeColor="text1"/>
          <w:lang w:eastAsia="zh-CN"/>
        </w:rPr>
        <w:t xml:space="preserve">part of the in-band emission </w:t>
      </w:r>
      <w:r w:rsidRPr="00056C94">
        <w:rPr>
          <w:b/>
          <w:color w:val="000000" w:themeColor="text1"/>
          <w:lang w:eastAsia="zh-CN"/>
        </w:rPr>
        <w:t>requirement.</w:t>
      </w:r>
    </w:p>
    <w:p w14:paraId="6A71295A" w14:textId="0C4F3232" w:rsidR="005A0431" w:rsidRPr="005A0431" w:rsidRDefault="00A03632" w:rsidP="005A0431">
      <w:pPr>
        <w:rPr>
          <w:color w:val="000000" w:themeColor="text1"/>
          <w:lang w:eastAsia="zh-CN"/>
        </w:rPr>
      </w:pPr>
      <w:r>
        <w:rPr>
          <w:b/>
          <w:color w:val="000000" w:themeColor="text1"/>
          <w:lang w:eastAsia="zh-CN"/>
        </w:rPr>
        <w:t>Proposal 2: As a trade-off, consider the IBE mask defined in Table 3 as the new IBE requirements for both QPSK and 16QAM.</w:t>
      </w: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p w14:paraId="142CCA92" w14:textId="2509CACF" w:rsidR="00514F67" w:rsidRDefault="00514F67" w:rsidP="00514F67">
      <w:pPr>
        <w:rPr>
          <w:lang w:eastAsia="zh-CN"/>
        </w:rPr>
      </w:pPr>
      <w:r>
        <w:rPr>
          <w:lang w:eastAsia="zh-CN"/>
        </w:rPr>
        <w:t xml:space="preserve">[1] </w:t>
      </w:r>
      <w:bookmarkEnd w:id="0"/>
      <w:bookmarkEnd w:id="1"/>
      <w:bookmarkEnd w:id="2"/>
      <w:bookmarkEnd w:id="3"/>
      <w:r w:rsidR="00AD7185" w:rsidRPr="00AD7185">
        <w:rPr>
          <w:lang w:eastAsia="zh-CN"/>
        </w:rPr>
        <w:t>R4-2111295 Discussion on UE RF requirements for 16QAM NB-</w:t>
      </w:r>
      <w:proofErr w:type="spellStart"/>
      <w:r w:rsidR="00AD7185" w:rsidRPr="00AD7185">
        <w:rPr>
          <w:lang w:eastAsia="zh-CN"/>
        </w:rPr>
        <w:t>IoT</w:t>
      </w:r>
      <w:proofErr w:type="spellEnd"/>
      <w:r w:rsidR="00AD7185" w:rsidRPr="00AD7185">
        <w:rPr>
          <w:lang w:eastAsia="zh-CN"/>
        </w:rPr>
        <w:t xml:space="preserve"> Uplink</w:t>
      </w:r>
      <w:r w:rsidR="00AD7185">
        <w:rPr>
          <w:lang w:eastAsia="zh-CN"/>
        </w:rPr>
        <w:t xml:space="preserve">, Huawei, </w:t>
      </w:r>
      <w:proofErr w:type="spellStart"/>
      <w:r w:rsidR="00AD7185">
        <w:rPr>
          <w:lang w:eastAsia="zh-CN"/>
        </w:rPr>
        <w:t>HiSilicon</w:t>
      </w:r>
      <w:proofErr w:type="spellEnd"/>
      <w:r w:rsidR="00AD7185">
        <w:rPr>
          <w:lang w:eastAsia="zh-CN"/>
        </w:rPr>
        <w:t>, RAN4#99-e, May 2021</w:t>
      </w:r>
    </w:p>
    <w:p w14:paraId="1563FD30" w14:textId="77777777" w:rsidR="00A74E93" w:rsidRDefault="00A74E93" w:rsidP="00514F67">
      <w:pPr>
        <w:rPr>
          <w:lang w:eastAsia="zh-CN"/>
        </w:rPr>
      </w:pPr>
      <w:r>
        <w:rPr>
          <w:lang w:eastAsia="zh-CN"/>
        </w:rPr>
        <w:t>[2] 3GPP TS 36.101 v16.8.0</w:t>
      </w:r>
    </w:p>
    <w:p w14:paraId="37F4CC1E" w14:textId="333DFBA9" w:rsidR="009F65F6" w:rsidRDefault="009F65F6" w:rsidP="00514F67">
      <w:pPr>
        <w:rPr>
          <w:lang w:eastAsia="zh-CN"/>
        </w:rPr>
      </w:pPr>
      <w:r>
        <w:rPr>
          <w:lang w:eastAsia="zh-CN"/>
        </w:rPr>
        <w:t xml:space="preserve">[3] </w:t>
      </w:r>
      <w:r w:rsidR="00BA5732">
        <w:rPr>
          <w:lang w:eastAsia="zh-CN"/>
        </w:rPr>
        <w:t xml:space="preserve">R4-2107683 </w:t>
      </w:r>
      <w:r w:rsidR="00BA5732" w:rsidRPr="006440D1">
        <w:rPr>
          <w:lang w:eastAsia="zh-CN"/>
        </w:rPr>
        <w:t>Email discussion summary for [99-e</w:t>
      </w:r>
      <w:proofErr w:type="gramStart"/>
      <w:r w:rsidR="00BA5732" w:rsidRPr="006440D1">
        <w:rPr>
          <w:lang w:eastAsia="zh-CN"/>
        </w:rPr>
        <w:t>][</w:t>
      </w:r>
      <w:proofErr w:type="gramEnd"/>
      <w:r w:rsidR="00BA5732" w:rsidRPr="006440D1">
        <w:rPr>
          <w:lang w:eastAsia="zh-CN"/>
        </w:rPr>
        <w:t>157] Additional enhancements for NB-</w:t>
      </w:r>
      <w:proofErr w:type="spellStart"/>
      <w:r w:rsidR="00BA5732" w:rsidRPr="006440D1">
        <w:rPr>
          <w:lang w:eastAsia="zh-CN"/>
        </w:rPr>
        <w:t>IoT</w:t>
      </w:r>
      <w:proofErr w:type="spellEnd"/>
      <w:r w:rsidR="00BA5732" w:rsidRPr="006440D1">
        <w:rPr>
          <w:lang w:eastAsia="zh-CN"/>
        </w:rPr>
        <w:t xml:space="preserve"> and LTE-MTC</w:t>
      </w:r>
      <w:r w:rsidR="00BA5732">
        <w:rPr>
          <w:lang w:eastAsia="zh-CN"/>
        </w:rPr>
        <w:t>, RAN4#99-e, May 2021</w:t>
      </w:r>
    </w:p>
    <w:sectPr w:rsidR="009F65F6" w:rsidSect="00D11389">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F01C2D"/>
    <w:multiLevelType w:val="hybridMultilevel"/>
    <w:tmpl w:val="345639B2"/>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1" w15:restartNumberingAfterBreak="0">
    <w:nsid w:val="18D84CF1"/>
    <w:multiLevelType w:val="hybridMultilevel"/>
    <w:tmpl w:val="0A387A4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4"/>
  </w:num>
  <w:num w:numId="2">
    <w:abstractNumId w:val="5"/>
  </w:num>
  <w:num w:numId="3">
    <w:abstractNumId w:val="6"/>
  </w:num>
  <w:num w:numId="4">
    <w:abstractNumId w:val="3"/>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F67"/>
    <w:rsid w:val="000066EA"/>
    <w:rsid w:val="000221DE"/>
    <w:rsid w:val="000259C9"/>
    <w:rsid w:val="00030BBE"/>
    <w:rsid w:val="000369D6"/>
    <w:rsid w:val="00042FDC"/>
    <w:rsid w:val="000519FD"/>
    <w:rsid w:val="00056C94"/>
    <w:rsid w:val="00062044"/>
    <w:rsid w:val="0008439E"/>
    <w:rsid w:val="00096438"/>
    <w:rsid w:val="000A33B0"/>
    <w:rsid w:val="000B2EA7"/>
    <w:rsid w:val="000B5B39"/>
    <w:rsid w:val="000C3038"/>
    <w:rsid w:val="000D506C"/>
    <w:rsid w:val="000E51BA"/>
    <w:rsid w:val="000F0505"/>
    <w:rsid w:val="000F6C41"/>
    <w:rsid w:val="00114F98"/>
    <w:rsid w:val="0011798D"/>
    <w:rsid w:val="00124176"/>
    <w:rsid w:val="00127F45"/>
    <w:rsid w:val="00135192"/>
    <w:rsid w:val="00141BA0"/>
    <w:rsid w:val="00147358"/>
    <w:rsid w:val="0015774A"/>
    <w:rsid w:val="00175ECD"/>
    <w:rsid w:val="00181D44"/>
    <w:rsid w:val="00183B18"/>
    <w:rsid w:val="00185D4F"/>
    <w:rsid w:val="00191B1B"/>
    <w:rsid w:val="00194F42"/>
    <w:rsid w:val="00196DF1"/>
    <w:rsid w:val="001977C0"/>
    <w:rsid w:val="001A04A1"/>
    <w:rsid w:val="001C39D8"/>
    <w:rsid w:val="001D7C04"/>
    <w:rsid w:val="001E3B15"/>
    <w:rsid w:val="001E433F"/>
    <w:rsid w:val="001F459A"/>
    <w:rsid w:val="001F746B"/>
    <w:rsid w:val="00200E3B"/>
    <w:rsid w:val="002106D3"/>
    <w:rsid w:val="00215F28"/>
    <w:rsid w:val="00217DA2"/>
    <w:rsid w:val="0022436D"/>
    <w:rsid w:val="00244912"/>
    <w:rsid w:val="00244B91"/>
    <w:rsid w:val="00247F28"/>
    <w:rsid w:val="00272BF9"/>
    <w:rsid w:val="00273E82"/>
    <w:rsid w:val="00282D47"/>
    <w:rsid w:val="002931E0"/>
    <w:rsid w:val="0029659D"/>
    <w:rsid w:val="002A3B62"/>
    <w:rsid w:val="002B70C4"/>
    <w:rsid w:val="002C76CB"/>
    <w:rsid w:val="002D064B"/>
    <w:rsid w:val="002D41BB"/>
    <w:rsid w:val="002E23B0"/>
    <w:rsid w:val="002E6109"/>
    <w:rsid w:val="002E628D"/>
    <w:rsid w:val="002F5D8F"/>
    <w:rsid w:val="002F6E01"/>
    <w:rsid w:val="002F71D9"/>
    <w:rsid w:val="00307E3B"/>
    <w:rsid w:val="0031137E"/>
    <w:rsid w:val="0031607C"/>
    <w:rsid w:val="003179DE"/>
    <w:rsid w:val="003210C2"/>
    <w:rsid w:val="003234B0"/>
    <w:rsid w:val="00326622"/>
    <w:rsid w:val="0032692A"/>
    <w:rsid w:val="003326CF"/>
    <w:rsid w:val="00336541"/>
    <w:rsid w:val="003416C3"/>
    <w:rsid w:val="00341CC3"/>
    <w:rsid w:val="003521FC"/>
    <w:rsid w:val="00356F72"/>
    <w:rsid w:val="003676DE"/>
    <w:rsid w:val="00380C9E"/>
    <w:rsid w:val="00380EEC"/>
    <w:rsid w:val="00382D99"/>
    <w:rsid w:val="0038660D"/>
    <w:rsid w:val="00397A98"/>
    <w:rsid w:val="003A2294"/>
    <w:rsid w:val="003A4D57"/>
    <w:rsid w:val="003A572E"/>
    <w:rsid w:val="003B0D5F"/>
    <w:rsid w:val="003B4B82"/>
    <w:rsid w:val="003C6794"/>
    <w:rsid w:val="003D2548"/>
    <w:rsid w:val="003D6FE1"/>
    <w:rsid w:val="003E099A"/>
    <w:rsid w:val="003F496D"/>
    <w:rsid w:val="00406E26"/>
    <w:rsid w:val="004166E0"/>
    <w:rsid w:val="00417233"/>
    <w:rsid w:val="0042453E"/>
    <w:rsid w:val="00436EA0"/>
    <w:rsid w:val="00440B78"/>
    <w:rsid w:val="00443B57"/>
    <w:rsid w:val="00444F05"/>
    <w:rsid w:val="004458E8"/>
    <w:rsid w:val="00447EB8"/>
    <w:rsid w:val="004509A8"/>
    <w:rsid w:val="0045233F"/>
    <w:rsid w:val="00453C07"/>
    <w:rsid w:val="00462488"/>
    <w:rsid w:val="00486DD2"/>
    <w:rsid w:val="0048737C"/>
    <w:rsid w:val="004921E9"/>
    <w:rsid w:val="00497489"/>
    <w:rsid w:val="004A0964"/>
    <w:rsid w:val="004C0F31"/>
    <w:rsid w:val="004C5FE4"/>
    <w:rsid w:val="004D75FF"/>
    <w:rsid w:val="004E10AB"/>
    <w:rsid w:val="00505D2C"/>
    <w:rsid w:val="00514F67"/>
    <w:rsid w:val="00531F9C"/>
    <w:rsid w:val="0053433A"/>
    <w:rsid w:val="00536D8C"/>
    <w:rsid w:val="00546EB2"/>
    <w:rsid w:val="00546EFD"/>
    <w:rsid w:val="00554D7D"/>
    <w:rsid w:val="00560E38"/>
    <w:rsid w:val="00563481"/>
    <w:rsid w:val="0056562E"/>
    <w:rsid w:val="0057270E"/>
    <w:rsid w:val="0058270D"/>
    <w:rsid w:val="00584776"/>
    <w:rsid w:val="00591F1F"/>
    <w:rsid w:val="005928C8"/>
    <w:rsid w:val="005958F4"/>
    <w:rsid w:val="005A0431"/>
    <w:rsid w:val="005A2528"/>
    <w:rsid w:val="005B09D6"/>
    <w:rsid w:val="005C1B55"/>
    <w:rsid w:val="005D2F40"/>
    <w:rsid w:val="005E145E"/>
    <w:rsid w:val="005F0DFA"/>
    <w:rsid w:val="005F55AE"/>
    <w:rsid w:val="005F676F"/>
    <w:rsid w:val="00614729"/>
    <w:rsid w:val="00617B32"/>
    <w:rsid w:val="006254B6"/>
    <w:rsid w:val="0063504F"/>
    <w:rsid w:val="00635E7E"/>
    <w:rsid w:val="006466F3"/>
    <w:rsid w:val="00651871"/>
    <w:rsid w:val="00665F16"/>
    <w:rsid w:val="0067304C"/>
    <w:rsid w:val="00674499"/>
    <w:rsid w:val="00674A88"/>
    <w:rsid w:val="00692C04"/>
    <w:rsid w:val="00693733"/>
    <w:rsid w:val="006A38D1"/>
    <w:rsid w:val="006B666A"/>
    <w:rsid w:val="006C20FF"/>
    <w:rsid w:val="006D458F"/>
    <w:rsid w:val="006D7E9E"/>
    <w:rsid w:val="006E16BF"/>
    <w:rsid w:val="006E2890"/>
    <w:rsid w:val="006E2A48"/>
    <w:rsid w:val="006E69F3"/>
    <w:rsid w:val="006F1CA3"/>
    <w:rsid w:val="00700848"/>
    <w:rsid w:val="007011A2"/>
    <w:rsid w:val="007166FA"/>
    <w:rsid w:val="00720479"/>
    <w:rsid w:val="00726E9F"/>
    <w:rsid w:val="00727D56"/>
    <w:rsid w:val="0073400E"/>
    <w:rsid w:val="00734368"/>
    <w:rsid w:val="007418B2"/>
    <w:rsid w:val="0074753A"/>
    <w:rsid w:val="007508F4"/>
    <w:rsid w:val="00750B04"/>
    <w:rsid w:val="00766434"/>
    <w:rsid w:val="00772661"/>
    <w:rsid w:val="00776291"/>
    <w:rsid w:val="00777712"/>
    <w:rsid w:val="00781C1A"/>
    <w:rsid w:val="0078412F"/>
    <w:rsid w:val="00792827"/>
    <w:rsid w:val="007949EB"/>
    <w:rsid w:val="007B0864"/>
    <w:rsid w:val="007B26A7"/>
    <w:rsid w:val="007B70FC"/>
    <w:rsid w:val="007B729A"/>
    <w:rsid w:val="007C585C"/>
    <w:rsid w:val="007D20A4"/>
    <w:rsid w:val="007F22B9"/>
    <w:rsid w:val="007F65B1"/>
    <w:rsid w:val="00802BCD"/>
    <w:rsid w:val="0080593F"/>
    <w:rsid w:val="008112E7"/>
    <w:rsid w:val="00823FF2"/>
    <w:rsid w:val="008259F4"/>
    <w:rsid w:val="00835A99"/>
    <w:rsid w:val="008555AC"/>
    <w:rsid w:val="0085704B"/>
    <w:rsid w:val="0086032C"/>
    <w:rsid w:val="008625ED"/>
    <w:rsid w:val="0086526E"/>
    <w:rsid w:val="00867EC5"/>
    <w:rsid w:val="008901AC"/>
    <w:rsid w:val="0089654D"/>
    <w:rsid w:val="008B2BD5"/>
    <w:rsid w:val="008B3907"/>
    <w:rsid w:val="008C1D06"/>
    <w:rsid w:val="008D1EFE"/>
    <w:rsid w:val="008D2F99"/>
    <w:rsid w:val="008E326C"/>
    <w:rsid w:val="008E7DEC"/>
    <w:rsid w:val="0090047A"/>
    <w:rsid w:val="009072E3"/>
    <w:rsid w:val="00913179"/>
    <w:rsid w:val="00934EB2"/>
    <w:rsid w:val="009446C0"/>
    <w:rsid w:val="00944A38"/>
    <w:rsid w:val="00945A8A"/>
    <w:rsid w:val="00947C41"/>
    <w:rsid w:val="009533AD"/>
    <w:rsid w:val="00954DF5"/>
    <w:rsid w:val="00965724"/>
    <w:rsid w:val="00966101"/>
    <w:rsid w:val="00987E9C"/>
    <w:rsid w:val="00994DE7"/>
    <w:rsid w:val="00996FAB"/>
    <w:rsid w:val="009C2145"/>
    <w:rsid w:val="009C392C"/>
    <w:rsid w:val="009C6075"/>
    <w:rsid w:val="009D6F98"/>
    <w:rsid w:val="009E154A"/>
    <w:rsid w:val="009E41DD"/>
    <w:rsid w:val="009E7475"/>
    <w:rsid w:val="009F65F6"/>
    <w:rsid w:val="009F6981"/>
    <w:rsid w:val="00A009C0"/>
    <w:rsid w:val="00A03632"/>
    <w:rsid w:val="00A060CD"/>
    <w:rsid w:val="00A10271"/>
    <w:rsid w:val="00A1184F"/>
    <w:rsid w:val="00A21E7D"/>
    <w:rsid w:val="00A233D8"/>
    <w:rsid w:val="00A3772D"/>
    <w:rsid w:val="00A407DB"/>
    <w:rsid w:val="00A408DB"/>
    <w:rsid w:val="00A471D8"/>
    <w:rsid w:val="00A47786"/>
    <w:rsid w:val="00A527CE"/>
    <w:rsid w:val="00A5784F"/>
    <w:rsid w:val="00A65352"/>
    <w:rsid w:val="00A66379"/>
    <w:rsid w:val="00A74E93"/>
    <w:rsid w:val="00A76333"/>
    <w:rsid w:val="00A77079"/>
    <w:rsid w:val="00A776CE"/>
    <w:rsid w:val="00A85449"/>
    <w:rsid w:val="00A85E93"/>
    <w:rsid w:val="00A97635"/>
    <w:rsid w:val="00AC458E"/>
    <w:rsid w:val="00AC62C5"/>
    <w:rsid w:val="00AD0F8D"/>
    <w:rsid w:val="00AD7185"/>
    <w:rsid w:val="00AE62E1"/>
    <w:rsid w:val="00B00E43"/>
    <w:rsid w:val="00B036FB"/>
    <w:rsid w:val="00B10601"/>
    <w:rsid w:val="00B20241"/>
    <w:rsid w:val="00B24177"/>
    <w:rsid w:val="00B24720"/>
    <w:rsid w:val="00B3127C"/>
    <w:rsid w:val="00B330B0"/>
    <w:rsid w:val="00B3380D"/>
    <w:rsid w:val="00B45E73"/>
    <w:rsid w:val="00B460E6"/>
    <w:rsid w:val="00B534E2"/>
    <w:rsid w:val="00B566B6"/>
    <w:rsid w:val="00B622F8"/>
    <w:rsid w:val="00B63B10"/>
    <w:rsid w:val="00B63F2C"/>
    <w:rsid w:val="00B64462"/>
    <w:rsid w:val="00B650F7"/>
    <w:rsid w:val="00B667B2"/>
    <w:rsid w:val="00B67595"/>
    <w:rsid w:val="00B71AD4"/>
    <w:rsid w:val="00B77A4E"/>
    <w:rsid w:val="00B836EA"/>
    <w:rsid w:val="00B92A68"/>
    <w:rsid w:val="00B94B9A"/>
    <w:rsid w:val="00BA5732"/>
    <w:rsid w:val="00BB7240"/>
    <w:rsid w:val="00BC344E"/>
    <w:rsid w:val="00BC69BC"/>
    <w:rsid w:val="00BD6052"/>
    <w:rsid w:val="00BE260D"/>
    <w:rsid w:val="00BE30B1"/>
    <w:rsid w:val="00BE5100"/>
    <w:rsid w:val="00BE59E5"/>
    <w:rsid w:val="00BF58B0"/>
    <w:rsid w:val="00BF6B11"/>
    <w:rsid w:val="00C02A55"/>
    <w:rsid w:val="00C17692"/>
    <w:rsid w:val="00C445F2"/>
    <w:rsid w:val="00C53166"/>
    <w:rsid w:val="00C5327F"/>
    <w:rsid w:val="00C578D1"/>
    <w:rsid w:val="00C651BE"/>
    <w:rsid w:val="00C75C28"/>
    <w:rsid w:val="00C769EE"/>
    <w:rsid w:val="00C80468"/>
    <w:rsid w:val="00C842E7"/>
    <w:rsid w:val="00C853CE"/>
    <w:rsid w:val="00CA0359"/>
    <w:rsid w:val="00CA0B2F"/>
    <w:rsid w:val="00CA37E0"/>
    <w:rsid w:val="00CA51E7"/>
    <w:rsid w:val="00CB331D"/>
    <w:rsid w:val="00CB4C2C"/>
    <w:rsid w:val="00CB6814"/>
    <w:rsid w:val="00CC10CD"/>
    <w:rsid w:val="00CC57B7"/>
    <w:rsid w:val="00CC62C5"/>
    <w:rsid w:val="00CD2ADE"/>
    <w:rsid w:val="00CD35D8"/>
    <w:rsid w:val="00CD73B6"/>
    <w:rsid w:val="00CE0E41"/>
    <w:rsid w:val="00CF0341"/>
    <w:rsid w:val="00D0059C"/>
    <w:rsid w:val="00D11389"/>
    <w:rsid w:val="00D31582"/>
    <w:rsid w:val="00D36102"/>
    <w:rsid w:val="00D36274"/>
    <w:rsid w:val="00D40CB2"/>
    <w:rsid w:val="00D44A64"/>
    <w:rsid w:val="00D553E9"/>
    <w:rsid w:val="00D66EA2"/>
    <w:rsid w:val="00D6773A"/>
    <w:rsid w:val="00D7722D"/>
    <w:rsid w:val="00D774CD"/>
    <w:rsid w:val="00D80D9E"/>
    <w:rsid w:val="00D82176"/>
    <w:rsid w:val="00D8230F"/>
    <w:rsid w:val="00D86505"/>
    <w:rsid w:val="00D91657"/>
    <w:rsid w:val="00DA47C6"/>
    <w:rsid w:val="00DA5244"/>
    <w:rsid w:val="00DB03E1"/>
    <w:rsid w:val="00DC7C14"/>
    <w:rsid w:val="00DE7D1B"/>
    <w:rsid w:val="00E06987"/>
    <w:rsid w:val="00E10B52"/>
    <w:rsid w:val="00E1446B"/>
    <w:rsid w:val="00E20439"/>
    <w:rsid w:val="00E215BB"/>
    <w:rsid w:val="00E22ACF"/>
    <w:rsid w:val="00E276F0"/>
    <w:rsid w:val="00E33B48"/>
    <w:rsid w:val="00E415C8"/>
    <w:rsid w:val="00E42CD1"/>
    <w:rsid w:val="00E54E29"/>
    <w:rsid w:val="00E64007"/>
    <w:rsid w:val="00E85837"/>
    <w:rsid w:val="00E8709A"/>
    <w:rsid w:val="00E958C4"/>
    <w:rsid w:val="00E97500"/>
    <w:rsid w:val="00E97A35"/>
    <w:rsid w:val="00EA01CA"/>
    <w:rsid w:val="00EA0A6E"/>
    <w:rsid w:val="00EA390E"/>
    <w:rsid w:val="00EA7A6C"/>
    <w:rsid w:val="00EA7EE8"/>
    <w:rsid w:val="00EB1A22"/>
    <w:rsid w:val="00EB6013"/>
    <w:rsid w:val="00EB6D8B"/>
    <w:rsid w:val="00EC2A51"/>
    <w:rsid w:val="00EC61CF"/>
    <w:rsid w:val="00EC7A70"/>
    <w:rsid w:val="00ED1D21"/>
    <w:rsid w:val="00ED64B6"/>
    <w:rsid w:val="00EF195D"/>
    <w:rsid w:val="00EF3484"/>
    <w:rsid w:val="00EF3D59"/>
    <w:rsid w:val="00EF54BF"/>
    <w:rsid w:val="00EF7AC9"/>
    <w:rsid w:val="00F13643"/>
    <w:rsid w:val="00F14F04"/>
    <w:rsid w:val="00F179A7"/>
    <w:rsid w:val="00F20542"/>
    <w:rsid w:val="00F227D1"/>
    <w:rsid w:val="00F23169"/>
    <w:rsid w:val="00F37321"/>
    <w:rsid w:val="00F50E21"/>
    <w:rsid w:val="00F5716A"/>
    <w:rsid w:val="00F60EF9"/>
    <w:rsid w:val="00F77C25"/>
    <w:rsid w:val="00F81BE8"/>
    <w:rsid w:val="00F843E3"/>
    <w:rsid w:val="00FA38C0"/>
    <w:rsid w:val="00FA7F42"/>
    <w:rsid w:val="00FB7A64"/>
    <w:rsid w:val="00FD0ABE"/>
    <w:rsid w:val="00FD6B8D"/>
    <w:rsid w:val="00FE2FF6"/>
    <w:rsid w:val="00FE444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chartTrackingRefBased/>
  <w15:docId w15:val="{B05BBF67-3D07-4D56-9F48-5CC86C304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4F67"/>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uiPriority w:val="39"/>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rsid w:val="003521FC"/>
    <w:pPr>
      <w:keepNext/>
      <w:keepLines/>
      <w:spacing w:before="60"/>
      <w:jc w:val="center"/>
    </w:pPr>
    <w:rPr>
      <w:rFonts w:ascii="Arial" w:eastAsia="Times New Roman" w:hAnsi="Arial"/>
      <w:b/>
    </w:rPr>
  </w:style>
  <w:style w:type="paragraph" w:customStyle="1" w:styleId="TAN">
    <w:name w:val="TAN"/>
    <w:basedOn w:val="Normal"/>
    <w:link w:val="TANChar"/>
    <w:rsid w:val="003521FC"/>
    <w:pPr>
      <w:keepNext/>
      <w:keepLines/>
      <w:spacing w:after="0"/>
      <w:ind w:left="851" w:hanging="851"/>
    </w:pPr>
    <w:rPr>
      <w:rFonts w:ascii="Arial" w:eastAsia="Times New Roman" w:hAnsi="Arial"/>
      <w:sz w:val="18"/>
    </w:rPr>
  </w:style>
  <w:style w:type="character" w:customStyle="1" w:styleId="THChar">
    <w:name w:val="TH Char"/>
    <w:link w:val="TH"/>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32055857">
      <w:bodyDiv w:val="1"/>
      <w:marLeft w:val="0"/>
      <w:marRight w:val="0"/>
      <w:marTop w:val="0"/>
      <w:marBottom w:val="0"/>
      <w:divBdr>
        <w:top w:val="none" w:sz="0" w:space="0" w:color="auto"/>
        <w:left w:val="none" w:sz="0" w:space="0" w:color="auto"/>
        <w:bottom w:val="none" w:sz="0" w:space="0" w:color="auto"/>
        <w:right w:val="none" w:sz="0" w:space="0" w:color="auto"/>
      </w:divBdr>
      <w:divsChild>
        <w:div w:id="5252157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image" Target="media/image7.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emf"/><Relationship Id="rId5" Type="http://schemas.openxmlformats.org/officeDocument/2006/relationships/webSettings" Target="webSettings.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7E2A7-C3EC-4BAA-97CA-5D5B0F3B5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4713</TotalTime>
  <Pages>3</Pages>
  <Words>670</Words>
  <Characters>3824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305</cp:revision>
  <dcterms:created xsi:type="dcterms:W3CDTF">2019-10-04T18:09:00Z</dcterms:created>
  <dcterms:modified xsi:type="dcterms:W3CDTF">2021-08-06T15:53:00Z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1628239909</vt:lpwstr>
  </property>
</Properties>
</file>